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E-2447/2015 vom 21. September 2015</w:t>
      </w:r>
    </w:p>
    <w:p>
      <w:r>
        <w:t>Bundesverwaltungsgericht, 2015-09-21, DE</w:t>
      </w:r>
    </w:p>
    <w:p>
      <w:r>
        <w:rPr>
          <w:b/>
        </w:rPr>
        <w:t xml:space="preserve">Quelle: </w:t>
      </w:r>
      <w:r>
        <w:t>https://mcp.opencaselaw.ch/entscheid/bvger_E-2447_2015</w:t>
      </w:r>
    </w:p>
    <w:p>
      <w:r>
        <w:t>FR: TAF E-2447/2015 du 21 septembre 2015</w:t>
      </w:r>
    </w:p>
    <w:p>
      <w:r>
        <w:t>IT: TAF E-2447/2015 del 21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Entscheidungen und Mitteilungen der Schweizerischen Asylrekurskommission [EMARK] 2006 Nr. 24 E. 5.1).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(vgl. BVGE 2011/37 E. 5.4.1; BVGE 2013/23 E. 6.4.1 und 6.4.2, je m.w.H.).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w:t>
      </w:r>
    </w:p>
    <w:p>
      <w:r>
        <w:rPr>
          <w:b/>
        </w:rPr>
        <w:t>E. 3.2</w:t>
      </w:r>
    </w:p>
    <w:p>
      <w:r>
        <w:t>Ein mit dem Anspruch auf rechtliches Gehör eng zusammenhängendes Prinzip des Verwaltungsverfahrens ist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4</w:t>
      </w:r>
    </w:p>
    <w:p>
      <w:r>
        <w:t>Veranlasst durch den Hinweis des Rechtsvertreters des Beschwerdeführers in seiner Eingabe vom 10. August 2015 (vgl. Bst. J) bestellte das Bundesverwaltungsgericht die vorinstanzlichen Akten des Mitbewohners des Beschwerdeführers, S.O., und stellte bei deren Durchsicht mit Erstaunen fest, dass sich das Original der eritreischen Heiratsurkunde des Beschwerdeführers tatsächlich im Dossier von S.O. befand (vgl. N (...), A16, Beilage 6). Dass dieses Dokument nicht dorthin gehört, hätte dem SEM bei Anwendung der gebührenden Sorgfalt im Rahmen seiner Aktenführungspflicht auffallen müssen. So ist auf dem Briefumschlag, mit dem die Heiratsurkunde an die Vorinstanz geschickt wurde, zwar tatsächlich die N-Nummer von S.O., indes auch der Name des Beschwerdeführers vermerkt. Zudem wurde das Dokument in der S.O. betreffenden Verfügung zusammen mit dem Namen des Beschwerdeführers erwähnt. Aufgrund dieser fehlerhaften Zuordnung hat das SEM seine Pflicht zur geordneten Aktenführung in grober Weise missachtet, was für sich alleine bereits eine Verletzung eines der zentralen Teilgehalte des Anspruchs auf rechtliches Gehör darstellt. Überdies ist unter diesen Umständen davon auszugehen, dass die Vorinstanz die Heiratsurkunde des Beschwerdeführers - ein für die Frage dessen Herkunft nicht offensichtlich unwesentliches Dokument - gar nicht zur Kenntnis nehmen und mithin auch nicht in der Entscheidfindung berücksichtigen konnte, womit sie nicht nur den Anspruch des Beschwerdeführers auf rechtliches Gehör zusätzlich verletzt, sondern mangels vollständiger Abklärung des rechtserheblichen Sachverhaltes auch ihre Untersuchungspflicht missachtet hat. In diesem Zusammenhang sei darauf hingewiesen, dass die pauschale Bemerkung des SEM in seiner Vernehmlassung vom 4. Juni 2015 - derartige Dokumente könnten leicht gekauft werden (vgl. Bst. I) - ohne nähere Prüfung der Heiratsurkunde nicht genügt, um deren Echtheit zu entkräften. Angesichts der formellen Natur des Anspruchs auf rechtliches Gehör rechtfertigen bereits diese grobe Verletzung der Aktenführungspflicht und die daraus folgenden weiteren Verfahrensmängel alleine eine Aufhebung der angefochtenen Verfügung und eine Rückweisung der Sache an die Vor-instanz. Wie nachfolgend aufgezeigt wird, hat das SEM seine Untersuchungspflicht und den Anspruch des Beschwerdeführers auf rechtliches Gehör jedoch auch im Rahmen seiner Abklärung bezüglich der Herkunft des Beschwerdeführers verletzt.</w:t>
      </w:r>
    </w:p>
    <w:p>
      <w:r>
        <w:rPr>
          <w:b/>
        </w:rPr>
        <w:t>E. 5.1</w:t>
      </w:r>
    </w:p>
    <w:p>
      <w:r>
        <w:t>Wie in der angefochtenen Verfügung erwähnt, wurden dem Beschwerdeführer - zwecks Plausibilitätsprüfung seiner Herkunftsangaben - anstelle einer Lingua-Analyse respektive Lingua-Alltagswissensevalua-tion im Rahmen der eingehenden Anhörung von der zuständigen Sachbearbeiterin des SEM vertiefte Fragen zu seinen Länderkenntnissen und zu seinem Alltagswissen bezüglich seiner angeblichen Herkunftsregion in Eritrea gestellt. Im zur Publikation vorgesehenen Leiturteil E-3361/2014 vom 6. Mai 2015 - in dem es um eine Asylsuchende tibetischer Ethnie ging, deren Herkunft aus der Volksrepublik China von der Vorinstanz in Zweifel gezogen wurde - definierte das Bundesverwaltungsgericht die aus dem rechtlichen Gehör und dem Untersuchungsgrundsatz fliessenden Mindestanforderungen an diese neue Methode der Herkunftsabklärung im Rahmen der Anhörung. Dass der behauptete Herkunftsort vorliegend in Eritrea und nicht in der Volksrepublik China liegt, tut bezüglich dieser Mindeststandards nichts zur Sache, sind sie - wie die Herkunftsabklärungen selbst - technischer Natur und somit von der behaupteten Herkunft der asylsuchenden Person unabhängig. Im genannten Urteil E-3361/2014 vom 6. Mai 2015 hielt das Gericht fest, dass das SEM - um dem Untersuchungsgrundsatz und dem Anspruch auf rechtliches Gehör gerecht zu werden - auch bei der alternativ zur Lingua-Analyse respektive Lingua-Alltagswissensevaluation durchgeführten Herkunftsabklärung im Rahmen der Anhörung verpflichtet ist, die Vorbringen der Betroffenen in einer auch für die Beschwerdeinstanz nachvollziehbaren Weise sorgfältig und ernsthaft zu prüfen (vgl. a.a.O., E. 5.2.2.1).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 Sind die genannten Mindestanforderungen nicht erfüllt, verletzt das SEM die Untersuchungspflicht und den Anspruch auf rechtliches Gehör, weshalb die Sache in der Regel zur Neubeurteilung an die Vorinstanz zurückzuweisen ist (vgl. a.a.O., E. 5.2.3.2).</w:t>
      </w:r>
    </w:p>
    <w:p>
      <w:r>
        <w:rPr>
          <w:b/>
        </w:rPr>
        <w:t>E. 5.2</w:t>
      </w:r>
    </w:p>
    <w:p>
      <w:r>
        <w:t>Im vorliegenden Verfahren ist die Vorinstanz den zuvor umschriebenen - aus der Untersuchungspflicht und dem Anspruch auf rechtliches Gehör fliessenden - Mindestanforderungen an die Herkunftsabklärung im Rahmen der Anhörung nicht vollumfänglich nachgekommen:</w:t>
      </w:r>
    </w:p>
    <w:p>
      <w:r>
        <w:rPr>
          <w:b/>
        </w:rPr>
        <w:t>E. 5.2.1</w:t>
      </w:r>
    </w:p>
    <w:p>
      <w:r>
        <w:t>Bezüglich der ersten Mindestanforderung kommt das Bundesverwaltungsgericht zum Schluss, dass den Akten zu einer Vielzahl der Herkunftsfragen keine Angaben zu den vom SEM für korrekt befundenen Antworten entnommen werden können (vgl. A12/16, F17 f., F26 f., F31 ff., F53 ff., F70 ff., F80 ff., F84 ff.). Insbesondere fehlen jedoch die für das Gericht einsehbaren Belege der angeblich richtigen Antworten mit COI. Da der Beschwerdeführer mit der im Rahmen seiner Rechtsmitteleingabe eingereichten SFH-Schnellrecherche vom 16. April 2015 auf Quellen verweist, die Teile seiner Ausführungen stützen, wäre es aber für die Beurteilung der Plausibilität der behaupteten Herkunft umso wichtiger, zu wissen, welchen Quellen das SEM seine diesbezüglichen Informationen entnimmt. Erst dann lässt sich eine - vom SEM in seiner Vernehmlassung bereits vorgezogene - Bewertung der Quellen des Beschwerdeführers vornehmen (vgl. Bst. I). Dabei sei darauf hingewiesen, dass im Rahmen der COI Standards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Rainer Mattern, COI-Standards: Die Verwendung von Herkunftsländerinformationen [COI] in Entscheiden der Asylinstanzen, ASYL 3/10, S. 4 f.).</w:t>
      </w:r>
    </w:p>
    <w:p>
      <w:r>
        <w:rPr>
          <w:b/>
        </w:rPr>
        <w:t>E. 5.2.2</w:t>
      </w:r>
    </w:p>
    <w:p>
      <w:r>
        <w:t>Mit Bezug zur zweiten Mindestanforderung des Anspruchs auf Gewährung des rechtlichen Gehörs fällt auf, dass der Beschwerdeführer weder im Rahmen der Anhörung, noch danach konkret darauf hingewiesen wurde, welche seiner in der angefochtenen Verfügung als ungenügend qualifizierten Angaben zu seiner Herkunft nicht den vom SEM als korrekt erachteten Informationen entsprechen. Mit diesem Vorgehen wurde es der Beschwerdeführerin verunmöglicht, zu den vom SEM als tatsachenwidrig oder unzureichend erachteten Antworten konkrete Einwände anzubringen.</w:t>
      </w:r>
    </w:p>
    <w:p>
      <w:r>
        <w:rPr>
          <w:b/>
        </w:rPr>
        <w:t>E. 5.3</w:t>
      </w:r>
    </w:p>
    <w:p>
      <w:r>
        <w:t>Nach dem Gesagten hat das SEM den Untersuchungsgrundsatz sowie den Anspruch des Beschwerdeführers auf rechtliches Gehör bei seiner Herkunftsabklärung im Rahmen der Befragung zusätzlich verletzt.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Wie in E. 4 ausgeführt, rechtfertigen bereits die - wegen der fehlerhaften Zuordnung der eritreischen Heiratsurkunde des Beschwerdeführers ins Dossier von S.O. - grobe Verletzung der Aktenführungspflicht und die daraus folgenden weiteren Verfahrensmängel die Aufhebung der angefochtenen Verfügung und die Rückweisung der Sache an die Vorinstanz, kommt einer Kassation doch auch die Funktion zu, die Vorinstanz auf ihre verfahrensrechtlichen Pflichten aufmerksam zu machen. Hinzu kommt, dass sich die Entscheidungsreife im vorliegenden Fall - nicht zuletzt angesichts der gehäuft aufgetretenen Verfahrensfehler infolge der Missachtung der Mindestanforderungen an die Herkunftsabklärung im Rahmen der Anhörung - nicht mit geringem Aufwand herstellen lässt. Unter Berücksichtigung dieser Gesamtumstände erscheint es mithin angezeigt, die Sache zur vollständigen und richtigen Sachverhaltsabklärung - unter rechtsgenüglicher Gewährung des rechtlichen Gehörs - ans SEM als erste Instanz zurückzuweisen. Dabei hat das SEM die Echtheit der eingereichten eritreischen Heiratsurkunde des Beschwerdeführers sowie deren Relevanz für das vorliegende Verfahren sorgfältig zu prüfen und seine diesbezüglichen Erkenntnisse in den neu zu fällenden Entscheid einfliessen zu lassen. Zudem hat es den Mindestanforderungen an die Herkunftsabklärung im Rahmen der Anhörung im Sinne des zur Publikation vorgesehenen Leiturteils E 3361/2014 vom 6. Mai 2015 gerecht zu werden. Der Antrag des Beschwerdeführers, aufgrund der Verständigungsschwierigkeiten mit den Arabischdolmetschern erneut in seiner Muttersprache Tigre befragt zu werden, ist indes abzulehnen. So gab der Beschwerdeführer sowohl zu Beginn als auch am Schluss der Kurzbefragung zu Protokoll, den Dolmetscher gut verstanden zu haben (vgl. A4/12, S. 2, Bst. h sowie S. 9, Rz. 9.01). Auch trug er vor, über sehr gute Arabischkenntnisse zu verfügen (vgl. A4/12, S. 4, Rz. 1.17.02). Dafür, dass dem Beschwerdeführer anlässlich der Kurzbefragung für die eingehende Anhörung ein Tigredolmetscher in Aussicht gestellt worden wäre, schien unter diesen Umständen keine Veranlassung zu bestehen und gibt es im entsprechenden Protokoll auch keine Hinweise. Zu Beginn der eingehenden Anhörung gab der Beschwerdeführer zwar tatsächlich an, dass er die Dolmetscherin bitte, langsam zu sprechen; indes bestätigte er auch, dass er sie verstehe (vgl. A12/16, F1 f.). Bei der Durchsicht des entsprechenden Protokolls entsteht denn auch nicht der Eindruck, als hätte der Beschwerdeführer die Dolmetscherin nicht verstanden oder sich ihr gegenüber nicht verständlich machen können.</w:t>
      </w:r>
    </w:p>
    <w:p>
      <w:r>
        <w:rPr>
          <w:b/>
        </w:rPr>
        <w:t>E. 7.1</w:t>
      </w:r>
    </w:p>
    <w:p>
      <w:r>
        <w:t>Bei diesem Ausgang des Verfahrens sind keine Kosten zu erheben (Art. 63 Abs. 1 VwVG).</w:t>
      </w:r>
    </w:p>
    <w:p>
      <w:r>
        <w:rPr>
          <w:b/>
        </w:rPr>
        <w:t>E. 7.2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10. August 2015 bei einem Stundenansatz von Fr. 200. und 11.5 Stunden einen Gesamtaufwand von Fr. 2'696.75 (inkl. Mehrwertsteuer und Auslagen) aus. Dieser Aufwand erscheint nicht vollumfänglich angemessen und ist mithin zu kürzen. So sind die Schreiben ans Bundesverwaltungsgericht vom 13. und vom 19. Mai 2015 mit Ausnahme von zwei Sätzen identisch, weshalb dafür nur einmal ein Aufwand von 20 Minuten in Rechnung gestellt werden kann. Bei der Kontaktaufnahme mit den Übersetzungsdiensten handelt es sich um Sekretariatsarbeiten, bedarf es zu deren Ausführung doch nicht der besonderen Kenntnisse eines Anwaltes. Mithin dürfen sie nicht in Rechnung gestellt werden, weshalb der Gesamtaufwand um weitere 50 Minuten zu kürzen ist. Ferner erscheint ein Aufwand von 7 Stunden für das Verfassen der Replik und die dazu notwendigen Vorarbeiten, wie Aktenstudium und Besprechung mit der Klientschaft, sehr hoch und ist deshalb um 2 Stunden zu reduzieren. Den verbleibenden Gesamtaufwand von 8 Stunden und 20 Minuten sowie die ausgewiesenen Auslagen (Fr. 197.-) erachtet das Gericht als angemessen; der Stundenansatz von Fr. 200.- ist reglementskonform (vgl. Art.10 Abs. 2 VGKE). Die Parteientschädigung zu Lasten der Vorinstanz ist demnach auf Fr. 2'013.-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