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E-2445/2008 vom 24. März 2010</w:t>
      </w:r>
    </w:p>
    <w:p>
      <w:r>
        <w:t>Bundesverwaltungsgericht, 2010-03-24, DE</w:t>
      </w:r>
    </w:p>
    <w:p>
      <w:r>
        <w:rPr>
          <w:b/>
        </w:rPr>
        <w:t xml:space="preserve">Quelle: </w:t>
      </w:r>
      <w:r>
        <w:t>https://mcp.opencaselaw.ch/entscheid/bvger_E-2445_2008</w:t>
      </w:r>
    </w:p>
    <w:p>
      <w:r>
        <w:t>FR: TAF E-2445/2008 du 24 mars 2010</w:t>
      </w:r>
    </w:p>
    <w:p>
      <w:r>
        <w:t>IT: TAF E-2445/2008 del 24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sowie Art. 105 AsylG i.V.m. Art. 37 des VVG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führte in der angefochtenen Verfügung zur Frage der Erfüllung der Flüchtlingseigenschaft und der Gewährung von Asyl im Wesentlichen aus, dass die Schweizer Botschaft aufgrund ihrer Abklärungen vor Ort zum Schluss gelangt sei, sämtliche vom Beschwerdeführer eingereichte Dokumente, welche das Verfahren mit der Referenznummer (...) beschlagen würden, seien gefälscht. Der Beschwerdeführer sei weder wegen eines strafrechtlichen Tatbestandes auf der Flucht noch sei die Polizei zu ihm nach Hause gekommen, um ihn und seine Familie festzunehmen. Das Foto, welches angeblich den Beschwerdeführer zeige, sei in Wirklichkeit jenes von L._______. Der wirkliche A._______ lebe als Mönch in einem Kloster in Sri Lanka. Das "Order Sheet in bangala of the special tribunal case no.(...)" vom (...) sei zwar echt, dennoch betreffe dieses den als Mönch in Sri Lanka lebenden Bruder A._______. Ebenfalls sei das "special diary" vom (...) 2006 als echt zu erachten. Angesichts vorheriger Abklärungen, wonach gegen den Beschwerdeführer in Bangladesch nichts vorliege und dieser nicht gesucht werde oder wegen eines allfälligen Deliktes auf der Flucht sei, komme diesen Beweismitteln aber keine besondere Beweiskraft zu, da es jedem bengalischen Staatsangehörigen offenstehe, bei der Polizei eine solche Klage einzureichen. Diese Möglichkeit habe auch die Mutter des Beschwerdeführers ergriffen, um dem Asylgesuch ihres Sohnes mehr Gewicht zu verleihen. Auch die behauptete Beteiligung an der Ermordung von D._______ sei aufgrund der Botschaftsauskunft als unwahr zu bezeichnen. Ebenfalls sei das eingereichte "Death certificate" vom (...) 1997 gefälscht, welches den behaupteten Tod seines Vater beweisen solle. Weiter sei festzuhalten, dass in Bangladesch jegliche Art von amtlichen und nichtamtlichen Gerichtsdokumenten ohne Mühe gegen Bezahlung erworben werden könnten, eine Gegebenheit, die benaglischen Dokumenten generell keine allzu grosse Beweiskraft verleihe. Ebenfalls könne das ärztliches Zeugnis, welches Dr. M._______ für den Beschwerdeführer ausgestellt habe, kein ausreichender Beweis erbringen, dass es sich dabei um den tatsächlichen A._______ handle, da Dr. M._______ offenbar keine weiteren Recherchen über die tatsächliche Identität der Person vorgenommen habe. Deshalb könne der Beschwerdeführer aus dem hängigen Gerichtsverfahren gegen ihn wegen vermeintlicher Beteiligung am Mord von D._______ nichts zu seinen Gunsten herleiten. Ebensowenig vermöchten auch die anderen Beweismittel eine aktuelle Gefährdung des Beschwerdeführers aufzuzeigen, da diese den beruflichen Werdegang seines Vaters sowie die Ermordung von D._______ belegen würden. Zudem seien die behaupteten Vorbringen über die Übergriffe der Behörden auf den Beschwerdeführer von diesem unterschiedlich vorgetragen worden und daher nicht glaubhaft. Er habe sodann die von ihm versprochenen Abklärungen, welche vor Ort zwecks Abklärung eines Folterrisikos getroffen werden sollten, nicht durchgeführt, respektive keine diesbezüglichen Dokumente eingereicht. In seiner Vernehmlassung hielt das BFM an den bereits vorgebrachten Erwägungen in der Verfügung vom 14. März 2008 fest. In dieser teilt das BFM die Schlussfolgerungen des Beschwerdeführers in seiner Beschwerdeschrift nicht. Das BFM führte aus, dass sich aufgrund einer Befragung sowie einer Botschaftsabklärung vor Ort umfassend aufgezeigt habe, dass weder die behauptete Identität des Beschwerdeführers noch seine abgeleitete Verfolgung der Wahrheit entsprächen und dieser ferner kein offizielles und authentisches bengalisches Ausweisdokument eingereicht habe, welches seine behauptete Identität nachweise. Das BFM hielt zudem an seiner Schlussfolgerung fest, dass sich der Beschwerdeführer im Schweizer Asylverfahren der Identität des wahren "A._______" bedient habe, es sich in Wirklichkeit aber um einen dritten Bruder im Familienverband, L._______, handeln dürfte. Weiter führte das BFM aus, dass bengalische Dokumente generell keinen grossen Beweiswert hätten, da diese überall käuflich erworben werden könnten.</w:t>
      </w:r>
    </w:p>
    <w:p>
      <w:r>
        <w:rPr>
          <w:b/>
        </w:rPr>
        <w:t>E. 5.2</w:t>
      </w:r>
    </w:p>
    <w:p>
      <w:r>
        <w:t>Aus der Rechtsmitteleingabe ergibt sich zwar als Rüge die Verletzung von Bundesrecht, indem zu Unrecht auf Unglaubhaftigkeit der Vorbringen geschlossen worden sei. Aufgrund der Akten erweisen sich jedoch die ausführlichen vorinstanzlichen Erwägungen als zutreffend und sind nicht zu beanstanden. Zur Vermeidung von Wiederholungen kann daher vorab vollumfänglich darauf verwiesen werden. Insbesondere ist aufgrund der Botschafts-abklärungsergebnisse, wonach der Beschwerdeführer weder wegen eines strafrechtlichen Tatbestandes auf der Flucht sei noch die Polizei zu ihm nach Hause gekommen sei, um ihn festzunehmen, der "Charge Sheet" gefälscht sei und der Haftbefehl nicht den sich in der Schweiz aufhaltenden Bruder betreffe, nicht von einer asylrechtlich relevanten Gefährdung bei einer Rückkehr nach Bangladesch auszugehen. Die Vorbringen in der Rechtsmitteleingabe erweisen sich auch nach einer vertieften Prüfung und in Bestätigung der Zwischenverfügung vom 29. April 2008 als zu wenig substanziiert und begründet, um die Schlussfolgerungen der Vorinstanz entkräften zu können, zumal sie sich im Wesentlichen auf einer Wiederholung der Vorbringen und dem Beharren auf der Echtheit aller Dokumente beschränken. Für die Behauptung, es sei bei der Identitätsabklärung durch die Schweizer Botschaft zu einer Verwechslung gekommen, finden sich in den Akten keinerlei Hinweise. Auch die im Verlaufe des Beschwerdeverfahrens nachgereichten Dokumente vermögen an den Schlussfolgerungen unter Verweis auf die als zutreffend zu bezeichnenden Ausführungen des BFM in der Vernehmlassung nichts zu ändern. Soweit der Beschwerdeführer in seiner Beschwerdeschrift vorbringt, dass in Bangladesch keine Identitätskarten für nicht wählende Personen - welche die Hälfte der Bevölkerung ausmachen sollen - existieren, kann diesem Argument kein Glaube geschenkt werden, da fast alle Staatsangehörigen von Bangladesch über eine Identitätskarte verfügen. Insbesondere galt der Besitz einer Identitätskarte während den Überschwemmungen im Jahre 2007 als Berechtigungsausweis für die Beanspruchung auf Nothilfe. Hätte die Hälfte der Bevölkerung damals keine Ausweispapiere besessen, wäre eine gezielte Hilfestellung nicht möglich gewesen beziehungsweise hätte eine effektive Hilfeleistung nicht vom Besitz einer Identitätskarte abhängig gemacht werden dürfen. Somit kann dem Beschwerdeführer nicht geglaubt werden, dass er nie Identitätspapiere besessen habe. Der Vollständigkeit halber ist festzustellen, dass selbst bei Wahrunterstellung der Vorbringen sich der Beschwerdeführer gegen allfällige Bedrohungen durch Drittpersonen mit Hilfe der staatlichen Organe zur Wehr setzen kann. So hat die Mutter des Beschwerdeführers gemäss seinen Angaben eine Strafanzeige gegen die Bedroher eingereicht, womit erkennbar ist, dass die Bevölkerung Bangladeschs Zugang zu den Strafverfolgungsbehörden hat und sich aktiv zur Wehr setzen kann.</w:t>
      </w:r>
    </w:p>
    <w:p>
      <w:r>
        <w:rPr>
          <w:b/>
        </w:rPr>
        <w:t>E. 5.3</w:t>
      </w:r>
    </w:p>
    <w:p>
      <w:r>
        <w:t>Schliesslich wird geltend gemacht, der Beschwerdeführer habe sich in der Schweiz exilpolitisch betätigt und müsse daher im Falle einer Rückkehr ins Heimatland mit flüchtlingsrelevanter Verfolgung rechnen. Dazu ist Folgendes zu bemerken: Dem Beschwerdeführer ist es nicht gelungen, glaubhaft darzulegen, dass er bereits im Heimatland politisch tätig war und deswegen verfolgt wurde. Demzufolge ist auch nicht davon auszugehen, dass er vor der Ausreise aus Bangladesch im Visier der heimatlichen Behörden stand oder gar als Regimegegner und politischer Aktivist einer einschlägigen Datenbank registriert war. Entgegen der seitens des Beschwerdeführers geäusserten Befürchtung ist aufgrund der Aktenlage auch nicht davon auszugehen, dass die bangladeschischen Behörden Kenntnis von den exilpolitischen Aktivitäten des Beschwerdeführers in der Schweiz erlangt haben. Selbst wenn die - nicht belegte - exilpolitische Tätigkeit des Beschwerdeführers den bangladeschischen Behörden zu einem späteren Zeitpunkt bekannt werden sollte, so erscheint es angesichts der vermuteten bescheidenen Quantität und Qualität als unwahrscheinlich, dass er deswegen bei einer Rückkehr dorthin eine flüchtlingsrelevante Verfolgung zu gewärtigen hätte.</w:t>
      </w:r>
    </w:p>
    <w:p>
      <w:r>
        <w:rPr>
          <w:b/>
        </w:rPr>
        <w:t>E. 5.4</w:t>
      </w:r>
    </w:p>
    <w:p>
      <w:r>
        <w:t>Zusammenfassend folgt, dass die vom Beschwerdeführer geltend gemachten Verfolgungsvorbringen sowie subjektiven Nachfluchtgründe nicht geeignet sind, eine asyl- respektive flüchtlingsrechtlich relevante Verfolgung beziehungsweise eine entsprechende Verfolgungsfurcht zu begründen, weshalb das Bundesamt das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124-127).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Zwar ist in Bangladesch von einer beträchtlichen Gewaltbereitschaft im Rahmen der politischen Auseinandersetzungen auszugehen, jedoch herrscht insgesamt keine Situation allgemeiner Gewalt und die dortige Lage ist nicht dermassen angespannt, als dass eine Rückführung als generell unzumutbar betrachtet werden müsste (vgl. dazu EMARK 2006 Nr. 27 E. 4.4 und 4.5). Aktuell kann nicht von einer Situation unkontrollierter Gewalt gesprochen werden. Der am 11. Januar 2007 durch den Staatspräsidenten verhängte Ausnahmezustand wurde am 17. Dezember 2008 aufgehoben (vgl. dazu Country Of Origin Information Report Bangladesh vom 11. August 2009, UK Border Agency [Hrsg.], Rz. 7.02 S. 45). Eine gänzlich unsichere, von bewaffneten Konflikten oder anderen unberechenbaren Unruhen dominierte Lage im Land, aufgrund derer der Beschwerdeführer sich bei einer Rückkehr unweigerlich einer konkreten Gefährdung ausgesetzt sehen würde, besteht mithin nicht. Ferner sind auch keine individuellen Gründe ersichtlich, welche die Rückkehr des Beschwerdeführers nach Bangladesch als unzumutbar erscheinen lassen würden. In den Akten finden sich keine konkreten Anhaltspunkte dafür, dass er aus individuellen Gründen wirtschaftlicher, sozialer oder gesundheitlicher Natur in eine existenzbedrohende Situation geraten würde. Der (...)-jährige, ledige Beschwerdeführer, der keine gesundheitlichen Beeinträchtigungen geltend macht, hat den grössten Teil seines Lebens in Bangladesch gelebt. Er ist somit mit den dortigen Verhältnissen bestens vertraut. Auch verfügt er im Heimatland über ein Beziehungsnetz. Gemäss seinen Angaben leben nämlich seine Mutter und (...) in B._______. Insgesamt kann somit davon ausgegangen werden, dass er sich in seinem Heimatland wird reintegrieren können.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Demzufolge ist auch die Auferlegung der vorinstanzlichen Kosten nicht zu beanstanden.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9. Mai 2008 bezahlten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