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E-243/2016 vom 8. August 2017</w:t>
      </w:r>
    </w:p>
    <w:p>
      <w:r>
        <w:t>Bundesverwaltungsgericht, 2017-08-08, DE</w:t>
      </w:r>
    </w:p>
    <w:p>
      <w:r>
        <w:rPr>
          <w:b/>
        </w:rPr>
        <w:t xml:space="preserve">Quelle: </w:t>
      </w:r>
      <w:r>
        <w:t>https://mcp.opencaselaw.ch/entscheid/bvger_E-243_2016</w:t>
      </w:r>
    </w:p>
    <w:p>
      <w:r>
        <w:t>FR: TAF E-243/2016 du 8 août 2017</w:t>
      </w:r>
    </w:p>
    <w:p>
      <w:r>
        <w:t>IT: TAF E-243/2016 del 8 agosto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Sowohl über offensichtlich begründete als auch offensichtlich unbegründete Beschwerden wird in einzelrichterlicher Zuständigkeit mit Zustimmung eines zweiten Richters beziehungsweise einer zweiten Richterin entschieden (Art. 111 Bst. e AsylG). Die vorliegende Beschwerde erweist sich hinsichtlich des Ausstandsbegehrens als offensichtlich unbegründet. Betreffend Nichteintreten auf Asylgesuch und Wegweisung (Dublin-Verfahren) ist die Beschwerde gegen den Wiedererwägungsentscheid aufgrund der neu ergangenen Rechtsprechung des Bundesverwaltungsgerichts (Urteil D-7853/2015 vom 31. Mai 2017, als Referenzurteil publiziert) im Urteilszeitpunkt als offensichtlich begründet zu erachten. Damit ist der Beschwerdeentscheid nur summarisch zu begründen (Art. 111a Abs. 2 AsylG). Gestützt auf Art. 111a Abs. 1 AsylG wurde vorliegend auf die Durchführung eines Schriftenwechsels verzichtet.</w:t>
      </w:r>
    </w:p>
    <w:p>
      <w:r>
        <w:rPr>
          <w:b/>
        </w:rPr>
        <w:t>E. 3.1</w:t>
      </w:r>
    </w:p>
    <w:p>
      <w:r>
        <w:t>Art. 10 VwVG konkretisiert die allgemeinen Verfahrensvoraussetzungen von Art. 29 Abs. 1 BV, indem er den Ausstand in Verwaltungsverfahren des Bundes regelt.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 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Eine tatsächliche Befangenheit wird für den Ausstand nicht verlangt. Es genügt, wenn Umstände vorliegen, die bei objektiver Betrachtung den Anschein der Befangenheit zu begründen vermögen. Für verwaltungsinterne Verfahren gilt dabei nicht der gleich strenge Massstab wie gemäss Art. 30 BV und Art. 6 Ziff. 1 EMRK für unabhängige richterliche Behörden. Ablehnungs- und Ausstandsbegehren gegen nichtrichterliche Justizpersonen respektive gegen Personen, die an einem Verwaltungsentscheid in irgendeiner Form beratend oder instruierend mitwirken, sind im Interesse einer beförderlichen Rechtspflege nicht leichthin gutzuheissen. Verfahrensfehler oder ein falscher Entscheid in der Sache können die Unabhängigkeit respektive Unparteilichkeit eines Behördenmitglieds nur bei besonders krassen Fehlern oder wiederholten Irrtümern, die einer schweren Verletzung der Amtspflichten entsprechen, in Frage stellen (vgl. Urteil E-1213/2017 vom 3. April 2017 E. 2.4.3 mit weiteren Hinweisen). Jedes Behördenmitglied ist dazu verpflichtet, Ausstandsgründe, die gegen seine Mitwirkung sprechen, von sich aus zu beachten, auch wenn keine Verfahrenspartei entsprechende Einwände erhebt. Tritt der Amtsträger bei Vorliegen eines Ausstandsgrunds nicht von sich aus in den Ausstand, hat die Verfahrenspartei ein Ausstandsbegehren zu stellen. Ist der Ausstand streitig, so entscheidet die jeweilige Aufsichtsbehörde über die Sache (Art. 10 Abs. 2 VwVG).</w:t>
      </w:r>
    </w:p>
    <w:p>
      <w:r>
        <w:rPr>
          <w:b/>
        </w:rPr>
        <w:t>E. 3.2</w:t>
      </w:r>
    </w:p>
    <w:p>
      <w:r>
        <w:t>Vorliegend erging die angefochtene Verfügung durch Mitarbeiter, gegen die der Beschwerdeführer vorgängig den Ausstand beantragte. Das SEM prüfte das Ausstandsbegehren weder intern als solches noch leitete es dieses an die zuständige Aufsichtsbehörde (EJPD, vgl. Art. 24 Regierungs- und Verwaltungsorganisationsverordnung vom 25. November 1998 [RVOV, SR 172.010.1]) weiter. Damit behandelte die Vorinstanz das besagte Ausstandsbegehren nicht in Übereinstimmung mit den relevanten Bestimmungen von Art. 10 VwVG. Allerdings kann das Bundesverwaltungsgericht aus verfahrensökonomischen Gründen von einer Rückweisung der Sache an die Vorinstanz absehen und selbst über den Ausstand entscheiden, sofern es die Aktenlage zulässt und sich das entsprechende Begehren als offensichtlich unbegründet erweist (vgl. Urteil E-1213/2017 E. 2.4.1 mit weiteren Hinweisen).</w:t>
      </w:r>
    </w:p>
    <w:p>
      <w:r>
        <w:rPr>
          <w:b/>
        </w:rPr>
        <w:t>E. 3.3</w:t>
      </w:r>
    </w:p>
    <w:p>
      <w:r>
        <w:t>Der Beschwerdeführer begründete sein Ausstandsbegehren im Wesentlichen mit der fachlichen Inkompetenz der betreffenden Mitarbeiter des SEM. Damit gelingt es ihm hingegen nicht, eine der in Art. 10 Abs. 1 VwVG genannten Ausstandskonstellationen darzulegen. Insbesondere sind in den Akten keine vernünftigen Gründe ersichtlich, die im Sinne der obigen Erwägungen bei objektiver Betrachtung die beiden Mitarbeiter als befangen erscheinen lassen. Der Umstand, dass der Beschwerdeführer die in der Zwischenverfügung vom 27. November 2015 vorgebrachten Argumente nicht teilt, vermag die Annahme einer Befangenheit jedenfalls nicht zu rechtfertigen. Viel eher handelt es sich bei den Ausführungen des Ausstandsbegehrens um eine inhaltliche Kritik an den vorinstanzlichen Erwägungen, die grundsätzlich in einem etwaigen Beschwerdeverfahren vorzubringen ist.</w:t>
      </w:r>
    </w:p>
    <w:p>
      <w:r>
        <w:rPr>
          <w:b/>
        </w:rPr>
        <w:t>E. 3.4</w:t>
      </w:r>
    </w:p>
    <w:p>
      <w:r>
        <w:t>Aufgrund des Gesagten ist das Ausstandsbegehren des Beschwerdeführers gegen die an der angefochtenen Verfügung beteiligten Personen als offensichtlich unbegründet zu erachten. Sein Antrag auf Feststellung der Nichtigkeit dieser Verfügung ist deshalb abzuweisen.</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Das vorliegende Beschwerdeverfahren dreht sich materiell-rechtlich im Wesentlichen um die Frage, ob sich der relevante Sachverhalt seit dem ursprünglichen Dublin-Nichteintretensentscheid vom 11. September 2015 respektive dem bestätigenden Urteil des Bundesverwaltungsgerichts E-6024/2017 vom 1. Oktober 2015 in erheblicher Weise verändert hat und infolge dessen die Zulässigkeit der Überstellung des Beschwerdeführers nach Ungarn verneint werden muss. Die grundsätzliche Zuständigkeit Ungarns für das Asylverfahren des Beschwerdeführers steht dabei nicht mehr zur Diskussion.</w:t>
      </w:r>
    </w:p>
    <w:p>
      <w:r>
        <w:rPr>
          <w:b/>
        </w:rPr>
        <w:t>E. 4.3</w:t>
      </w:r>
    </w:p>
    <w:p>
      <w:r>
        <w:t>Das Bundesverwaltungsgericht hat im Urteil D-7853/2015 vom 31. Mai 2017 (wie bereits erwähnt, als Referenzurteil publiziert) eingehend die Entwicklung der Situation für Asylsuchende in Ungarn, insbesondere für jene, die in Anwendung der Dublin-III-VO nach Ungarn überstellt werden, analysiert.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4.4</w:t>
      </w:r>
    </w:p>
    <w:p>
      <w:r>
        <w:t>Aus den gleichen Gründen, wie im vorgenannten Referenzurteil beschrieben, ist es dem Gericht auch vorliegend nicht möglich, die Sache abschliessend zu beurteilen. Demzufolge ist die angefochtene Verfügung der Ablehnung des Wiedererwägungsgesuchs und die mit Verfügung vom 11. September 2015 angeordnete und in der angefochtenen Verfügung für rechtskräftig und vollstreckbar erklärte Wegweisung aufzuheben und die Sache zur vollständigen Sachverhaltsfeststellung sowie zur neuen Entscheidung an das SEM zurückzuweisen. Die Beschwerdeakten bilden dabei ebenfalls Prozessstoff des von der Vorinstanz erneut aufzunehmenden Wiedererwägungsverfahrens. Die Beschwerde ist daher diesbezüglich gutzuheissen. Es erübrigt sich, auf den weiteren Inhalt der Beschwerde näher einzugehen.</w:t>
      </w:r>
    </w:p>
    <w:p>
      <w:r>
        <w:rPr>
          <w:b/>
        </w:rPr>
        <w:t>E. 5.1</w:t>
      </w:r>
    </w:p>
    <w:p>
      <w:r>
        <w:t>Die Kosten des Beschwerdeverfahrens und die Parteientschädigung sind grundsätzlich nach dem Verhältnis von Obsiegen und Unterliegen des Beschwerdeführers aufzuerlegen beziehungsweise zuzusprechen (Art. 63 Abs. 1 und Art. 64 Abs. 1 VwVG). Der Beschwerdeführer ist betreffend des Ausstandsbegehrens unterlegen. Bezüglich der mit Verfügung vom 11. September 2015 angeordneten und in der angefochtenen Verfügung für rechtskräftig und vollstreckbar erklärten Wegweisung (nach Ungarn) hat er hingegen obsiegt. Vorliegend bedeutet dies ein hälftiges Obsiegen. Nach dem Gesagten sind die Verfahrenskosten zur Hälfte dem Beschwerdeführer aufzuerlegen (Art. 63 Abs. 1 VwVG) und auf insgesamt Fr. 375.- festzusetzen (Art. 1 3 des Reglements vom 21. Februar 2008 über die Kosten und Entschädigungen vor dem Bundesverwaltungsgericht [VGKE, SR 173.320.2]).</w:t>
      </w:r>
    </w:p>
    <w:p>
      <w:r>
        <w:rPr>
          <w:b/>
        </w:rPr>
        <w:t>E. 5.2</w:t>
      </w:r>
    </w:p>
    <w:p>
      <w:r>
        <w:t>Der Beschwerdeführer ist im Umfang seines Obsiegens - hier also hälftig - für die ihm erwachsenen notwendigen Kosten zu entschädigen (Art. 64 Abs. 1 VwVG; Art. 7 ff. VGKE). Der Rechtsvertreter hat eine Kostennote in der Höhe von Fr. 3472.85 (inkl. Auslagen und MwSt.) eingereicht. Der geltend gemachte Zeitaufwand von 13.13 Stunden ist angesichts des Beschwerdeumfangs als erheblich überhöht zu beurteilen und auf 6 Stunden zu reduzieren und die Entschädigung für Auslagen ist auf Fr. 30.- zu beschränken. Unter Anwendung des veranschlagten Stundenansatzes von Fr. 240.- sowie unter Anrechnung der reduzierten Auslagen und des Mehrwertsteueranteils ist dem Beschwerdeführer somit von der Vorinstanz eine hälftige Parteientschädigung in der Höhe von Fr. 794.-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