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E-2436/2025 vom 11. Juni 2025</w:t>
      </w:r>
    </w:p>
    <w:p>
      <w:r>
        <w:t>Bundesverwaltungsgericht, 2025-06-11, DE</w:t>
      </w:r>
    </w:p>
    <w:p>
      <w:r>
        <w:rPr>
          <w:b/>
        </w:rPr>
        <w:t xml:space="preserve">Quelle: </w:t>
      </w:r>
      <w:r>
        <w:t>https://mcp.opencaselaw.ch/entscheid/bvger_E-2436_2025</w:t>
      </w:r>
    </w:p>
    <w:p>
      <w:r>
        <w:t>FR: TAF E-2436/2025 du 11 juin 2025</w:t>
      </w:r>
    </w:p>
    <w:p>
      <w:r>
        <w:t>IT: TAF E-2436/2025 del 11 giugno 2025</w:t>
      </w:r>
    </w:p>
    <w:p>
      <w:pPr>
        <w:pStyle w:val="Heading2"/>
      </w:pPr>
      <w:r>
        <w:t>Regeste</w:t>
      </w:r>
    </w:p>
    <w:p>
      <w:r>
        <w:t>Nichteintreten auf Asylgesuch und Wegweisung (Art. 31a Abs. 1 Bst. c-e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Die vorliegende Beschwerde erweist sich – wie nachfolgend aufgezeigt – als offensichtlich begründet und ist im Verfahren einzelrichterlicher Zustän- digkeit mit Zustimmung eines zweiten Richters beziehungsweise einer zweiten Richterin (Art. 111 Bst. e AsylG), ohne einen Schriftenwechsel und mit summarischer Begründung, zu behandeln (Art. 111a Abs. 1 und 2 AsylG).</w:t>
      </w:r>
    </w:p>
    <w:p>
      <w:r>
        <w:rPr>
          <w:b/>
        </w:rPr>
        <w:t>E. 3.1</w:t>
      </w:r>
    </w:p>
    <w:p>
      <w:r>
        <w:t>Der Beschwerdeführer hat am Verfahren vor der Vorinstanz teilgenom- men, ist durch die angefochtene Verfügung besonders berührt und hat ein schutzwürdiges Interesse an deren Aufhebung beziehungsweise</w:t>
      </w:r>
    </w:p>
    <w:p>
      <w:r>
        <w:t>E-2436/2025 Seite 5 Änderung. Er ist daher zur Einreichung der Beschwerde legitimiert (Art. 105; Art. 48 Abs. 1 sowie Art. 52 VwVG).</w:t>
      </w:r>
    </w:p>
    <w:p>
      <w:r>
        <w:rPr>
          <w:b/>
        </w:rPr>
        <w:t>E. 3.2</w:t>
      </w:r>
    </w:p>
    <w:p>
      <w:r>
        <w:t>Unter dem Titel «Rechtsmittelbelehrung» hält das SEM in der ange- fochtenen Verfügung fest, dass gegen die vorliegende Verfügung innert 30 Arbeitstagen seit Eröffnung Beschwerde erhoben werden könne. Gemäss Art. 108 Abs. 3 AsylG ist die Beschwerde gegen Nichteintretensentscheide innerhalb von fünf Arbeitstagen seit Eröffnung einzureichen. Die Rechts- mittelbelehrung des SEM erweist sich somit als falsch. Die vorliegende Be- schwerde wurde jedoch innert der gesetzlichen Frist und damit fristgerecht eingereicht. Dem Beschwerdeführer ist aus der falschen Rechtsmittelbe- lehrung kein Nachteil erwachsen, und es erübrigen sich weitere Ausführun- gen. Auf die Beschwerde ist – unter Einschränkung der nachfolgenden Er- wägungen – einzutreten.</w:t>
      </w:r>
    </w:p>
    <w:p>
      <w:r>
        <w:rPr>
          <w:b/>
        </w:rPr>
        <w:t>E. 3.3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2009/54 E. 1.3.3). Die Frage der Flüchtlingsei- genschaft und des Asyls bildet demnach nicht Gegenstand des angefoch- tenen Nichteintretensentscheides und damit auch nicht des vorliegenden Verfahrens. Auf das Begehren, es sei die Flüchtlingseigenschaft festzustel- len und dem Beschwerdeführer Asyl zu gewähren, ist daher nicht einzutre- ten.</w:t>
      </w:r>
    </w:p>
    <w:p>
      <w:r>
        <w:rPr>
          <w:b/>
        </w:rPr>
        <w:t>E. 4</w:t>
      </w:r>
    </w:p>
    <w:p>
      <w:r>
        <w:t>Auf Asylgesuche wird in der Regel nicht eingetreten, wenn Asylsuchende in einen Drittstaat zurückkehren können, in welchem sie sich vorher aufge- halten haben (Art. 31a Abs. 1 Bst. c AsylG), sofern die asylsuchende Per- son effektiv in den als sicher erachteten Drittstaat zurückkehren kann (vgl. Botschaft zur Änderung des Asylgesetzes vom 4. September 2002 [nachfolgend BBl 2002 6845], 6850). Nach Art. 31a Abs. 2 AsylG findet die Bestimmung von Abs. 1 Bst. c keine Anwendung, wenn Hinweise darauf bestehen, dass im Einzelfall im Drittstaat kein effektiver Schutz vor Rück- schiebung nach Art. 5 Abs. 1 AsylG besteht.</w:t>
      </w:r>
    </w:p>
    <w:p>
      <w:r>
        <w:rPr>
          <w:b/>
        </w:rPr>
        <w:t>E. 5.1</w:t>
      </w:r>
    </w:p>
    <w:p>
      <w:r>
        <w:t>Zur Begründung des Nichteintretensentscheids führte das SEM im We- sentlichen aus, es sei zwar – wie von der Rechtsvertretung im Rahmen des</w:t>
      </w:r>
    </w:p>
    <w:p>
      <w:r>
        <w:t>E-2436/2025 Seite 6 rechtlichen Gehörs moniert – korrekt, dass vorliegend keine Rückübernah- mezusicherung des Drittstaats vorliege. Gemäss Rechtsprechung des Bundesverwaltungsgerichts stelle diese indes keine Voraussetzung für ei- nen Nichteintretensentscheid nach Art. 31a Abs. 1 Bst. c AsylG dar. Die in der Botschaft zur Revision des Asylgesetzes erwähnte Zusicherung be- schlage vielmehr die Möglichkeit des Wegweisungsvollzugs und stelle eine allgemeine Vollzugsmodalität dar. Auch sei mit der Rechtsvertretung einig zu gehen, dass das Verfahren schon lange dauere. Die im Gesetz vorge- sehene Verfahrensfrist stelle jedoch eine Ordnungsfrist dar. Schliesslich stehe auch der Umstand, dass gestützt auf Art. 29 AsylG zwei Anhörungen durchgeführt worden seien, einem Nichteintretensentscheid nicht entge- gen. Aus den vorliegenden Akten gehe hervor, dass der Beschwerdeführer über ein bis im Jahr 2030 gültiges IC und ein RC verfüge und sich somit legal in Indien aufgehalten habe. Die Flüchtlingseigenschaft sei zwar nicht Gegen- stand des Entscheids. Es könne dennoch festgehalten werden, dass er als chinesischer Staatsangehöriger, tibetischer Ethnie und seiner nicht auszu- schliessenden illegalen Ausreise vor dem Jahr 2021 die Flüchtlingseigen- schaft erfülle. Der Bundesrat habe Indien als verfolgungssicheren Heimat- oder Herkunftsstaat bezeichnet, aber nicht als sicheren Drittstaat im Sinne von Art. 6a Abs. 2 Bst. b AsylG. Indien sei zwar nicht Signatarstaat der Flüchtlingskonvention, nehme aber seit Jahren grosszügig Tibeterinnen und Tibeter auf, welche auch Zugang zu Arbeits- und Bildungsstrukturen hätten. Der Beschwerdeführer verfüge aufgrund seines indischen RC und IC über einen rechtlichen Status in Indien, welcher ihm effektiven Schutz vor Rückschiebung nach Art. 5 Abs. 1 AsylG biete, zumal ihm in Indien keine flüchtlingsrechtliche Verfolgung drohe. Sollte er sich aufgrund seiner Arbeit für die exiltibetische Regierung effektiv bedroht fühlen, könne er sich an die indischen Behörden wenden. Der Vollzug der Wegweisung erweise sich daher als zulässig. In Indien würde keine Situation allgemeiner Gewalt oder sonstige kriegerische oder bürgerkriegsähnliche Verhältnisse herr- schen, welche für ihn bei seiner Rückkehr eine konkrete Gefährdung dar- stellen würden. Der Bundesrat habe Indien mit Beschluss vom 18. März 1991 als verfolgungssicheren Staat (Safe Country) im Sinne von Art. 6a Abs. 2 Bst. a AsyIG bezeichnet. Überdies seien auch keine individuellen Gründe erkennbar, die gegen die Zumutbarkeit des Wegweisungsvollzugs sprechen würden. Er sei jung und gesund, habe eine solide Schulbildung und Arbeitserfahrung. Mit dem IC habe er in Indien legal und offiziell gelebt und es sei davon auszugehen, dass er über ein soziales Beziehungsnetz</w:t>
      </w:r>
    </w:p>
    <w:p>
      <w:r>
        <w:t>E-2436/2025 Seite 7 verfüge, welches ihn bei der Reintegration unterstützten könne. Der Voll- zug der Wegweisung sei zumutbar. Hinsichtlich Möglichkeit des Wegweisungsvollzugs sei festzuhalten, dass der Beschwerdeführer über ein bis am (…) 2030 gültiges IC verfüge, wel- ches ihm erlaube, ins Ausland zu reisen und nach Indien zurückzukehren. Aufgrund seines geregelten Aufenthalts in Indien könne er mit einem Rück- reisevisum dorthin zurückreisen. Sollte sein RC inzwischen abgelaufen sein, könne er dieses nach der Rückkehr in Indien verlängern lassen. Die indischen Behörden hätten im Rahmen des Visumsantrags bereits einmal ein mit einem NORI-Stempel (No objection to return to India) versehenes Rückreisevisum ausgestellt. Es sei davon auszugehen, dass er erneut ein Rückreisevisum erhalten werde. Nach Auskunft der Schweizer Vertretung in Neu-Delhi hätten Besitzer eines gültigen IC grundsätzlich das Recht nach Indien zurückzukehren. Der Einwand, dass kein Anspruch auf ein sol- ches Visum bestehe und das IC nicht mit einem legalen Status gleichbe- deutend sei, sei somit unbegründet. Falls er wie vorgebracht nicht mehr im Besitz des IC sein sollte, erschwere dies zwar den Vollzug der Wegwei- sung, verunmögliche diesen aber nicht. Schliesslich stelle die formelle Zu- sicherung des Drittstaats zur Rückübernahme von Asylsuchenden keine zwingende Voraussetzung für das Fällen eines Nichteintretensentscheids dar, sondern beschlage lediglich die Möglichkeit des Wegweisungsvollzugs und stelle mithin eine Vollzugsmodalität dar. Gestützt auf den vorliegenden Sachverhalt sei davon auszugehen, dass der Beschwerdeführer nach In- dien zurückkehren könne.</w:t>
      </w:r>
    </w:p>
    <w:p>
      <w:r>
        <w:rPr>
          <w:b/>
        </w:rPr>
        <w:t>E. 5.2</w:t>
      </w:r>
    </w:p>
    <w:p>
      <w:r>
        <w:t>Dem wird in der Beschwerde im Wesentlichen entgegengehalten, der Beschwerdeführer habe in der Schweiz ein dreijähriges Asylverfahren durchlaufen, wobei er zweimal vertieft zu seinen Asylgründen angehört worden sei – dies obwohl er bereits bei der Einreise seiner Mitwirkungs- pflicht nachgekommen sei und offengelegt habe, über welche Dokumente er in Indien verfüge. In den Anhörungen sei er nicht darauf hingewiesen worden, dass eine Wegweisung nach Indien zur Diskussion stehe. Zudem entspreche die Rechtsmittelbelehrung nicht der gewöhnlichen Rechtsmit- telbelehrung eines Nichteintretensentscheids. Schliesslich erwähne die Vorinstanz noch, dass der Beschwerdeführer die Flüchtlingseigenschaft er- füllen dürfte. Dieses Vorgehen sei widersprüchlich. Bezüglich der Notwen- digkeit der Rückübernahmezusicherung sei auf ein kürzlich ergangenes Urteil des Bundesverwaltungsgerichts hinzuweisen, welches festgehalten habe, dass die Frage der effektiven Möglichkeit des Wegweisungsvollzugs in den Drittstaat nicht nur eine Vollzugsmodalität, sondern vielmehr eine</w:t>
      </w:r>
    </w:p>
    <w:p>
      <w:r>
        <w:t>E-2436/2025 Seite 8 wesentliche Voraussetzung für den Erlass eines Nichteintretensentscheids sei. Das RC des Beschwerdeführers sei abgelaufen, weshalb kein effekti- ver Schutz vor einer Rückführung nach China bestehe; das IC sei nicht mehr in seinem Besitz. Er habe keine indischen Dokumente und keinen rechtlichen Status mehr in Indien, weshalb die Anwendung der Drittstaa- tenregelung nicht in Betracht komme. Zudem habe es die Vorinstanz un- terlassen zu prüfen, ob für ihn in Indien ein effektiver Schutz vor Rückschie- bung bestehe, respektive sei ein solcher aufgrund des abgelaufenen RC zu verneinen. Der Beschwerdeführer habe erfahren, dass seine Mutter frei- gelassen worden sei. Würde er zurückkehren, wären er und seine Familie erneut im Visier der chinesischen Behörden. Der Wegweisungsvollzug sei daher unzulässig, und überdies unmöglich, da er über kein RC, kein IC und kein Rückkehrvisum mehr verfüge. Die allgemeine Menschenrechtslage für Flüchtlinge und Asylsuchende in Indien habe sich verschlechtert, zumal er sich nun seit drei Jahren in der Schweiz befinde und ein enges Verhältnis zu seiner Pflegefamilie bestehe. Schliesslich sei dem beigelegten Artikel einer Schweizer Tageszeitung zu entnehmen, dass der Dolmetscher, wel- cher bei ihm übersetzt habe, gemäss dem beigelegten Zeitungsartikel ein chinesischer Spion sei. Eventualiter sei die Sache an die Vorinstanz zurückzuweisen, da die Vo- rinstanz nur ungenügend abgeklärt habe, ob der Beschwerdeführer effek- tiven Schutz vor Verfolgung habe, womit sie den Untersuchungsgrundsatz verletzt habe. Zudem habe er keine gültigen indischen Dokumente mehr und es obliege der Vorinstanz abzuklären, ob eine Wegweisung überhaupt möglich sei. Schliesslich wäre die Vorinstanz verpflichtet gewesen, eine Rückübernahmezusicherung bei den indischen Behörden einzuholen. Der rechtserhebliche Sachverhalt sei daher nur unvollständig erstellt.</w:t>
      </w:r>
    </w:p>
    <w:p>
      <w:r>
        <w:rPr>
          <w:b/>
        </w:rPr>
        <w:t>E. 6.1</w:t>
      </w:r>
    </w:p>
    <w:p>
      <w:r>
        <w:t>Soweit der Beschwerdeführer vorliegend erneut auf die lange Verfah- rensdauer hinweist, ist festzustellen, dass diese bereits Gegenstand des Rechtsverzögerungsverfahrens E-3553/2024, abgeschlossen mit Urteil vom 29. Juli 2024, war. Es erübrigen sich daher weitere Ausführungen. Der Rechtsvertretung ist insofern zuzustimmen, dass gemäss Art. 36 AsylG bei Nichteintretensentscheiden nach Art. 31a AsylG der asylsuchenden Per- son das rechtliche Gehör gewährt wird und keine Anhörung vorgesehen ist. In der vorliegenden Beschwerde wird jedoch nicht näher dargetan, in- wiefern dem Beschwerdeführer aus dem Umstand, dass er zweimal ange- hört wurde, ein Rechtsnachteil erwachsen sein soll. Soweit er vorbringt, sein Dolmetscher sei der im eingereichten Medienbericht erwähnte</w:t>
      </w:r>
    </w:p>
    <w:p>
      <w:r>
        <w:t>E-2436/2025 Seite 9 angebliche chinesische Spion gewesen, vermag er daraus für das vorlie- gende Verfahren, welches ein Nichteintretensentscheid im Rahmen einer Drittstaatenkonstellation zum Gegenstand hat, nichts zu seinen Gunsten abzuleiten. Diesem Vorbringen ist allenfalls im Rahmen des wiederaufge- nommenen vorinstanzlichen Verfahrens Rechnung zu tragen (vgl. nachfol- gende Erwägungen).</w:t>
      </w:r>
    </w:p>
    <w:p>
      <w:r>
        <w:rPr>
          <w:b/>
        </w:rPr>
        <w:t>E. 6.2</w:t>
      </w:r>
    </w:p>
    <w:p>
      <w:r>
        <w:t>Mit Blick auf die Systematik der Nichteintretenstatbestände gemäss Art. 31a Abs. 1 AsylG ist zunächst festzustellen, dass die sogenannten «Drittstaatenfälle» Konstellationen umfassen, in welchen die in der Schweiz um Asyl nachsuchende Person den notwendigen Schutz in einem anderen Staat finden kann, und deshalb dieser Staat als zuständig erachtet wird. Die Prüfung des Nichteintretens ist daher in einem weiteren Sinne als Zuständigkeitsprüfung nach Art. 7 VwVG in ihrer spezialgesetzlichen asyl- rechtlichen Ausgestaltung zu verstehen. In diesem Sinne stellt ein Nicht- eintretensentscheid nichts anderes als eine Unzuständigkeitserklärung im Sinne von Art. 8 Abs. 1 VwVG dar. Die beim Erlassen eines Nichteintreten- sentscheids für das Verfahren zuständige Behörde ist demnach die Be- hörde des Drittstaats (vgl. Schweizerische Flüchtlingshilfe [SFH], Hand- buch zum Asyl- und Wegweisungsverfahren, 3. Aufl. 2021, S. 132). Eine Unzuständigkeitserklärung der Schweiz ohne die gleichzeitige Zuständig- keitserklärung des betreffenden Drittstaats ist in der Systematik der Nicht- eintretenstatbestände nach Art. 31a Abs. 1 AsylG grundsätzlich nicht vor- gesehen.</w:t>
      </w:r>
    </w:p>
    <w:p>
      <w:r>
        <w:rPr>
          <w:b/>
        </w:rPr>
        <w:t>E. 6.3.1</w:t>
      </w:r>
    </w:p>
    <w:p>
      <w:r>
        <w:t>Der Bundesrat hat Indien als verfolgungssicheren Heimat- oder Her- kunftsstaat, aber nicht als sicheren Drittstaat im Sinne von Art. 6a Abs. 2 Bst. b AsylG bezeichnet. Daher kommt – von der Vorinstanz zutreffend er- kannt – ein Nichteintretensentscheid gestützt auf Art. 31a Abs. 1 Bst. c AsylG in Betracht.</w:t>
      </w:r>
    </w:p>
    <w:p>
      <w:r>
        <w:rPr>
          <w:b/>
        </w:rPr>
        <w:t>E. 6.3.2</w:t>
      </w:r>
    </w:p>
    <w:p>
      <w:r>
        <w:t>Art. 31a Abs. 1 Bst. c AsylG setzt zunächst den vorgängigen Aufent- halt der asylsuchenden Person im Drittstaat voraus. Vorliegend ist unbe- stritten, dass sich der Beschwerdeführer ungefähr seit dem Jahr 1994 in Indien aufgehalten hat. Das Kriterium des vorgängigen Aufenthalts ist vor- liegend erfüllt.</w:t>
      </w:r>
    </w:p>
    <w:p>
      <w:r>
        <w:rPr>
          <w:b/>
        </w:rPr>
        <w:t>E. 6.3.3</w:t>
      </w:r>
    </w:p>
    <w:p>
      <w:r>
        <w:t>Weiter setzt ein Nichteintretensentscheid gestützt auf Art. 31a Abs. 1 Bst. c AsylG das Vorliegen einer Rückübernahmezusicherung des Dritt- staats voraus (vgl. hierzu z.B. Urteil des BVGer D-7483/2024 vom</w:t>
      </w:r>
    </w:p>
    <w:p>
      <w:r>
        <w:t>E-2436/2025 Seite 10 13. Dezember 2024 E. 6.2 m.w.H.; CONSTANTIN HRUSCHKA in: Kommentar Migrationsrecht, 5. Auflage 2019, N 3 zu Art. 31a AsylG). Zur Drittstaaten- regelung wird in der Botschaft zu aArt. 34 Abs. 2 Bst. b AsylG – welcher in die vorliegend relevante Norm überführt wurde (vgl. Botschaft zur Ände- rung des Asylgesetzes vom 26. Mai 2010, BBl 2010 4455, 4493) – Folgen- des ausgeführt: «Die Möglichkeit, in einen Drittstaat zurückkehren zu kön- nen, beinhaltet aber, dass dieser den Schweizer Asylbehörden gegenüber die Rückübernahme der asylsuchenden Person zugesichert hat» (BBl 2002 6845, 6884). Für den rechtskonformen Vollzug der Wegweisung in den Drittstaat ist deshalb sicherzustellen, dass die asylsuchende Person tatsächlich wieder in den Drittstaat einreisen kann. Gemäss konstanter Rechtsprechung und Lehre und entgegen den vorinstanzlichen Ausführun- gen, ist die Möglichkeit des Wegweisungsvollzugs (und nicht nur die frei- willige Weiterreise oder Rückkehr) Rechtsmässigkeitsvoraussetzung für das Fällen eines Nichteintretensentscheids. Diese Möglichkeit, in einen Drittstaat zurückkehren zu können, beinhaltet, dass dieser Drittstaat den Schweizer Asylbehörden gegenüber die Rückübernahme der asylsuchen- den Person zugesichert hat (vgl. BVGE 2010/56 E. 5.2.2; Urteil des Bun- desverwaltungsgerichts D-7483/2024 vom 13. Dezember 2024 E. 6 m.w.H., BBl 2002 6845, 6850 und 6884). Demzufolge müssen die Aufnah- mebereitschaft des Drittstaats und die Vollzugsmöglichkeit im Zeitpunkt des Verfügungserlasses feststehen (Schweizerische Flüchtlingshilfe [SFH], Handbuch zum Asyl- und Wegweisungsverfahren, 3. Aufl. 2021, S. 134), zumal bei der Drittstaatenregelung ein effizienter Vollzug der Weg- weisung im Vordergrund steht (vgl. BBl 2002 6845, 6850). Das Vorliegen einer Rückübernahmezusicherung des Drittstaats stellt daher gemäss ständiger Rechtsprechung eine zwingende Voraussetzung für die Anwen- dung von Art. 31a Abs. 1 Bst. c AsylG dar.</w:t>
      </w:r>
    </w:p>
    <w:p>
      <w:r>
        <w:rPr>
          <w:b/>
        </w:rPr>
        <w:t>E. 6.3.4</w:t>
      </w:r>
    </w:p>
    <w:p>
      <w:r>
        <w:t>Das SEM hat sich mit Schreiben vom 2. Juli 2024 zwar an die indi- schen Behörden gewandt, um eine entsprechende Rückübernahmezusi- cherung zu erhalten (vgl. SEM-act. 52/4). Eine solche Rückübernahmezu- sicherung ergibt sich bisher nicht aus den Akten. Ohne eine entsprechende Rückmeldung der indischen Behörden abzuwarten respektive ohne erneut bei den indischen Behörden vorstellig zu werden, erliess das SEM einen Nichteintretensentscheid. Das SEM wäre nach dem Gesagten jedoch ver- pflichtet gewesen, eine Rückübernahmezusicherung bei den entsprechen- den drittstaatlichen Behörden, die es für zuständig im Sinne von Art. 31a Abs. 1 Bst. c AsylG hält, einzuholen. Damit erweist sich der rechtserhebli- che Sachverhalt als unzureichend festgestellt.</w:t>
      </w:r>
    </w:p>
    <w:p>
      <w:r>
        <w:t>E-2436/2025 Seite 11</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Aufgrund der vorzunehmenden Anfrage zur Rückübernahme rechtfer- tigt es sich, die angefochtene Verfügung aufzuheben und die Sache an die Vorinstanz zur Neubeurteilung zurückzuweisen. Die Beschwerde ist inso- fern gutzuheissen, soweit auf diese einzutreten ist.</w:t>
      </w:r>
    </w:p>
    <w:p>
      <w:r>
        <w:rPr>
          <w:b/>
        </w:rPr>
        <w:t>E. 8.1</w:t>
      </w:r>
    </w:p>
    <w:p>
      <w:r>
        <w:t>Bei diesem Ausgang des Verfahrens sind keine Kosten zu erheben (Art. 63 Abs. 1 und 2 VwVG). Das Gesuch um Gewährung der unentgeltli- chen Prozessführung wird damit gegenstandslos.</w:t>
      </w:r>
    </w:p>
    <w:p>
      <w:r>
        <w:rPr>
          <w:b/>
        </w:rPr>
        <w:t>E. 8.2.1</w:t>
      </w:r>
    </w:p>
    <w:p>
      <w:r>
        <w:t>Dem Beschwerdeführer ist angesichts seines Obsiegens in Anwen- dung von Art. 64 VwVG und Art. 7 Abs. 1 des Reglements vom 21. Februar 2008 über die Kosten und Entschädigungen vor dem Bundesverwaltungs- gericht (VGKE, SR 173.320.2) eine Entschädigung für die ihm notwendi- gerweise erwachsenen Parteikosten zuzusprechen.</w:t>
      </w:r>
    </w:p>
    <w:p>
      <w:r>
        <w:rPr>
          <w:b/>
        </w:rPr>
        <w:t>E. 8.3</w:t>
      </w:r>
    </w:p>
    <w:p>
      <w:r>
        <w:t>Es wurde keine Kostennote eingereicht, weshalb die notwendigen Par- teikosten aufgrund der Akten zu bestimmen sind (Art. 14 Abs. 2 in fine VGKE). Gestützt auf die in Betracht zu ziehenden Bemessungsfaktoren (Art. 9–13 VGKE) ist die Parteientschädigung auf insgesamt Fr. 1’500.– festzulegen.</w:t>
      </w:r>
    </w:p>
    <w:p>
      <w:r>
        <w:rPr>
          <w:b/>
        </w:rPr>
        <w:t>E. 8.4</w:t>
      </w:r>
    </w:p>
    <w:p>
      <w:r>
        <w:t>Das Gesuch um Beiordnung eines amtlichen Rechtsbeistandes wird bei diesem Ausgang des Verfahrens gegenstandslos.</w:t>
      </w:r>
    </w:p>
    <w:p>
      <w:r>
        <w:t>(Dispositiv nächste Seite)</w:t>
      </w:r>
    </w:p>
    <w:p>
      <w:r>
        <w:t>E-2436/2025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