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E-2431/2016 vom 14. Juni 2017</w:t>
      </w:r>
    </w:p>
    <w:p>
      <w:r>
        <w:t>Bundesverwaltungsgericht, 2017-06-14, DE</w:t>
      </w:r>
    </w:p>
    <w:p>
      <w:r>
        <w:rPr>
          <w:b/>
        </w:rPr>
        <w:t xml:space="preserve">Quelle: </w:t>
      </w:r>
      <w:r>
        <w:t>https://mcp.opencaselaw.ch/entscheid/bvger_E-2431_2016</w:t>
      </w:r>
    </w:p>
    <w:p>
      <w:r>
        <w:t>FR: TAF E-2431/2016 du 14 juin 2017</w:t>
      </w:r>
    </w:p>
    <w:p>
      <w:r>
        <w:t>IT: TAF E-2431/2016 del 14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Flüchtlingen wird nach Art. 54 AsylG kein Asyl gewählt, wenn sie erst durch ihre Ausreise aus dem Heimat- oder Herkunftsstaat oder wegen ihres Verhaltens nach der Ausreise Flüchtlinge im Sinne von Art. 3 AsylG wurden (subjektive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Wie das SEM in der angefochtenen Verfügung zutreffend aufzeigte, vermögen die gesuchsbegründenden Vorbringen der Beschwerdeführerin den Anforderungen an die Glaubhaftigkeit nicht zu genügen. Die Entgegnungen in der Beschwerde erweisen sich als nicht stichhaltig, weshalb vorab zur Vermeidung von Wiederholungen auf die zutreffenden Erwägungen in der angefochtenen Verfügung und in der Vernehmlassung verwiesen werden kann. Insbesondere vermag das Vorbringen, es handle sich bei den vermeintlichen Ungereimtheiten um Präzisierungen seitens der Beschwerdeführerin, in keiner Weise zu überzeugen. So ist hinsichtlich der Fluchtumstände der ersten Razzia im Jahr (...) festzustellen, dass ihre diesbezüglichen Aussagen in der Tat unstimmig sind (A17/21 F61 und A17/21 F65, F69, F83), und ihre auf entsprechenden Vorhalt hin gemachten Erklärungen (A17/21 F165 und F166) diese Ungereimtheiten nicht aufzulösen vermögen. Zudem sagte die Beschwerdeführerin, entgegen dem Vorbringen in der Beschwerde, bei der BzP unmissverständlich aus, es seien keine Soldaten anwesend gewesen, weil sie damit beschäftigt gewesen seien, andere Personen zu verhaften, deshalb habe sie gesagt, sie wolle Wasser trinken gehen, und so habe sie flüchten können (A3/12 Ziff. 7.01). Somit besteht sehr wohl ein Unterschied zur Aussage bei der Anhörung, die Gruppe der aufgegriffenen Personen sei von (...) Soldaten bewacht worden (A17/21 F69). Hinzu kommt, dass sich auch die weitere Entgegnung, es vermöge nicht zu erstaunen, dass die Beschwerdeführerin erst bei der Anhörung auf ihre Aufenthalte in F._______ und G._______ hingewiesen habe, weil bei der BzP lediglich eine summarische Befragung zu den Asylgründen vorgenommen werde, und diese Aufenthalte zudem zum Zeitpunkt der Anhörung bereits mehr als (...) Jahre zurück gelegen hätten, als wenig stichhaltig erweist. Diesbezüglich ist festzustellen, dass die Beschwerdeführerin bei der BzP ausdrücklich danach gefragt wurde, wohin sie nach ihrer Flucht gegangen sei (A3/12 Ziff. 7.01), weshalb von ihr auch in Berücksichtigung des summarischen Charakters der BzP und der bereits vergangenen Zeit hätte erwartet werden dürfen, dass sie ihr Untertauchen in F._______ und G._______ vor der Rückkehr zu ihren Eltern bereits früher erwähnt hätte. Der Umstand, dass der angebliche Vorfall bereits (...) Jahre zurücklag und die Beschwerdeführerin noch das Leben im Sudan während (...) Jahren sowie eine Reise nach Europa bewältigt habe, vermag die vom SEM aufgezeigten Unstimmigkeiten in den Aussagen der Beschwerdeführerin nicht zu erklären, weshalb nicht ersichtlich ist, inwiefern die Vorinstanz dem zu wenig Rechnung getragen haben sollte. Zwar sind gewisse Einwände und Erklärungen in der Rechtsmitteleingabe berechtigt und nachvollziehbar, etwa wenn sie erklärt, weshalb es zu keinen Gesprächen bei der Razzia gekommen sei, und dass sie bei der Anhörung auch nicht explizit nach den Interaktionen mit ihren Brüdern gefragt worden sei. Die Einwände sind jedoch angesichts der in der angefochtenen Verfügung zu Recht aufgezeigten Widersprüche in zentralen Punkten nicht geeignet, ihre Aussagen glaubhafter erscheinen zu lassen. Unbesehen der Glaubhaftigkeit dieses Vorbringens ist in Übereinstimmung mit den Ausführungen in der Vernehmlassung festzustellen, dass der für die Feststellung der Flüchtlingseigenschaft erforderliche Kausalzusammenhang zwischen der angeblichen Razzia im Jahr (...) und der erst im (...) erfolgten Ausreise der Beschwerdeführerin fehlt. Ergänzend ist davon auszugehen, dass der Beschwerdeführerin wohl kaum (...) eine Identitätskarte und nach ihrer Ausreise im Sudan ein Reisepass ausgestellt worden wäre, sollten die eritreischen Behörden sie tatsächlich wegen Refraktion gesucht haben. Als wenig überzeugend erweist sich sodann die weitere Entgegnung, wenn man die gesuchsbegründenden Vorbringen in ihrer Gesamtheit würdige und sowohl den zeitlichen Rahmen als auch den Umstand berücksichtige, dass die BzP eine summarische Befragung sei, scheine es durchaus nachvollziehbar und plausibel, dass die Beschwerdeführerin die Inhaftierung ihrer Mutter und die Razzia im Jahr (...) erst bei der Anhörung erwähnt habe. Bei diesen Vorkommnissen handelt es sich um zentrale Punkte in den Asylvorbringen, weshalb nicht nachvollziehbar ist, dass die Beschwerdeführerin diese Ereignisse nicht bereits bei der BzP erwähnt hat. Angesichts dieser Sachlage erübrigt es sich, auf die weiteren Ausführungen in der Beschwerde und in der Replik einzugehen, zumal sie insgesamt nicht geeignet sind, zu einer anderen Beurteilung zu gelangen. Damit ergibt sich, dass es der Beschwerdeführerin nicht gelungen ist, Vorfluchtgründe zum Zeitpunkt ihrer Ausreise darzutun. Es bleibt zu prüfen, ob sie bei einer Rückkehr nach Eritrea wegen subjektiver Nachfluchtgründe befürchten müsste, ernsthaften Nachteilen im Sinne von Art. 3 AsylG ausgesetzt zu werden.</w:t>
      </w:r>
    </w:p>
    <w:p>
      <w:r>
        <w:rPr>
          <w:b/>
        </w:rPr>
        <w:t>E. 5.1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Beschwerdeführerin macht geltend, sie habe Eritrea illegal verlassen, weshalb sie bei einer Rückkehr dorthin mit flüchtlingsrelevanten Nachteilen zu rechnen hätte.</w:t>
      </w:r>
    </w:p>
    <w:p>
      <w:r>
        <w:rPr>
          <w:b/>
        </w:rPr>
        <w:t>E. 5.2</w:t>
      </w:r>
    </w:p>
    <w:p>
      <w:r>
        <w:t>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5.3</w:t>
      </w:r>
    </w:p>
    <w:p>
      <w:r>
        <w:t>Vorliegend sind keine solchen zusätzlichen Gefährdungsfaktoren ersichtlich. Insbesondere ist unter Verweis auf die in E. 4 vorstehend gemachten Ausführungen mangels Glaubhaftigkeit ihrer Aussagen nicht davon auszugehen, dass die eritreischen Behörden erfolglos versucht haben, die Beschwerdeführerin zwangsweise zu rekrutieren. Ihre Befürchtung, bei einer Rückkehr nach Eritrea wegen ihrer angeblichen Refraktion in den Fokus der Militärbehörden zu geraten, erweist sich deshalb als in objektiver Hinsicht unbegründet und vermag keine Schärfung ihres Profils respektive eine flüchtlingsrechtlich relevante Verfolgungsgefahr zu begründen. Für die blosse Möglichkeit, früher oder später einmal in den Militärdienst eigezogen zu werden, gilt das gleiche. Zudem ergeben sich aus ihren gesuchsbegründenen Aussagen auch keine anderen Anknüpfungspunkte, die sie in den Augen des eritreischen Regimes als missliebige Person erscheinen lassen könnten. Wie bereits erwähnt, vermag eine illegale Ausreise allein keine Furcht vor einer zukünftigen flüchtlingsrelevanten Verfolgung zu begründen. Angesichts dieser Sachlage kann offenbleiben, zu welchem Zeitpunkt und auf welche Weise die Beschwerdeführerin Eritrea verlassen hat. Die Frage der Glaubhaftigkeit der illegalen Ausreise kann mangels flüchtlingsrechtlicher Relevanz offenbleiben.</w:t>
      </w:r>
    </w:p>
    <w:p>
      <w:r>
        <w:rPr>
          <w:b/>
        </w:rPr>
        <w:t>E. 5.4</w:t>
      </w:r>
    </w:p>
    <w:p>
      <w:r>
        <w:t>Somit ist zusammenfassend festzustellen, dass es der Beschwerdeführerin auch nicht gelungen ist, subjektive Nachfluchtgründe darzutun.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der unter-liegenden Beschwerdeführerin aufzuerlegen (Art. 63 Abs. 1 VwVG). Weil indessen der Antrag auf Gewährung der unentgeltlichen Prozessführung im Sinne von Art. 65 Abs. 1 VwVG mit Zwischenverfügung vom 28. April 2016 gutgeheissen wurde und sich zudem aus den Akten keine Hinweise auf eine nachträgliche Veränderung in den finanziellen Verhältnissen der Beschwerdeführerin ergeben, ist sie von der Bezahlung der Verfahrenskosten zu befreien.</w:t>
      </w:r>
    </w:p>
    <w:p>
      <w:r>
        <w:rPr>
          <w:b/>
        </w:rPr>
        <w:t>E. 8.2</w:t>
      </w:r>
    </w:p>
    <w:p>
      <w:r>
        <w:t>Da der Beschwerdeführerin mit Zwischenverfügung vom 28. April 2016 die amtliche Rechtsverbeiständung gewährt wurde, sind die ihr notwendigerweise erwachsenen Parteikosten durch das Bundesverwaltungsgericht zu übernehmen (vgl. Art. 110a Abs. 1 AsylG i.V.m. Art. 9-14 des Reglements vom 21. Februar 2008 über die Kosten und Entschädigungen vor dem Bundesverwaltungsgericht [VGKE, SR 173.320.2]). Der in der Kostennote vom 24. Mai 2016 ausgewiesene Vertretungsaufwand von (...) Stunden und die Auslagen von Fr. (...) erscheinen angemessen. Weil das Bundesverwaltungsgericht amtliche Rechtsvertreter ohne Anwaltspatent praxisgemäss zu einem Stundenansatz von Fr. 100.- bis Fr. 150.- entschädigt, ist der in der Kostennote aufgeführte Stundenansatz von Fr. 200.- entsprechend auf Fr. 150.- zu reduzieren. Dem bestellten Rechtsbeistand in der Person des Rechtsvertreters ist somit zu Lasten des Bundesverwaltungsgerichts ein amtliches Honorar von Fr. (...) (inkl. Auslagen und Mehrwertsteuerzuschlag) auszurichten. Sollte die Beschwerdeführerin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