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E-2427/2017 vom 14. Juni 2017</w:t>
      </w:r>
    </w:p>
    <w:p>
      <w:r>
        <w:t>Bundesverwaltungsgericht, 2017-06-14, DE</w:t>
      </w:r>
    </w:p>
    <w:p>
      <w:r>
        <w:rPr>
          <w:b/>
        </w:rPr>
        <w:t xml:space="preserve">Quelle: </w:t>
      </w:r>
      <w:r>
        <w:t>https://mcp.opencaselaw.ch/entscheid/bvger_E-2427_2017</w:t>
      </w:r>
    </w:p>
    <w:p>
      <w:r>
        <w:t>FR: TAF E-2427/2017 du 14 juin 2017</w:t>
      </w:r>
    </w:p>
    <w:p>
      <w:r>
        <w:t>IT: TAF E-2427/2017 del 14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vom 24. März 2017 qualifizierte das SEM sowohl die geltend gemachte Homosexualität als auch die damit begründete Verfolgungssituation im Iran als unglaubhaft. So habe der Beschwerdeführer die aufgrund seiner sexuellen Orientierung entstandenen Familienprobleme erlebnisarm geschildert und dabei das entsprechende Verhalten der Familienmitglieder bloss oberflächlich und auf die äusseren Folgen beschränkt beschrieben. Des Weiteren seien seine Aussagen zu den Umständen, wie seine Familie respektive sein Bruder das erste Mal von seiner Homosexualität erfahren hätten, substanzlos und realitätsfremd geblieben. In gleicher Weise habe er den Vorfall, als er von seinem Bruder beim Sexualverkehr mit einem Jungen erwischt worden und anschliessend geflüchtet sei, nur in oberflächlicher sowie unplausibler Weise darlegen können. Von der anschliessenden Auffindung durch den Vater, der Konfrontation mit der Familie sowie dem dreiwöchigen Arrest im Keller habe er ebenfalls nur unpersönlich berichtet. Auch die Schilderungen zu den Todesdrohungen seines Vaters und eines Bruders sowie zur Anzeige von B._______ Vater, wofür er sodann keinerlei Gerichtsdokumente eingereicht habe, seien als substanzlos zu erachten. Es sei ohnehin wenig plausibel, dass er sich im Wissen um den grossen Einfluss des besagten Vaters auf B._______ eingelassen habe. Im Übrigen seien seine Angaben zum Zeitpunkt, als er von der Anzeige erfahren habe, widersprüchlich ausgefallen. Des Weiteren würden auch seine Vorbringen zum Verhältnis zu seinem Bruder wie auch zu dessen Festnahme und den Haftgründen zahlreiche Widersprüche aufweisen. Die eingereichten Beweismittel betreffend seinen verstorbenen Bruder könnten diese Feststellung nicht umstossen. Fragen zur sexuellen Orientierung habe der Beschwerdeführer oberflächlich, stereotyp und teilweise realitätsfremd beantwortet. Seine Aussage, die Neigung für das männliche Geschlecht gründe in einer erlebten Vergewaltigung als zirka 13-jähriger Junge, sei wenig nachvollziehbar. Überdies habe er die entsprechenden Gedankenprozesse trotz mehrmaliger Nachfragen nicht schlüssig darlegen können. Zudem müssten auch seine Schilderungen zu seiner Beziehung mit einem Nachbarjungen als wenig persönlich bezeichnet werden. Seine Homosexualität sei im Übrigen bereits aufgrund der verspäteten Geltendmachung anzuzweifeln. Denn es sei zu erwarten, dass sich eine asylsuchende Person mit dem Entschluss zur Flucht auch für die Offenlegung der vorangegangenen Ausreisegründe entscheide. Die eingereichten Beweismittel könnten die festgestellte Unglaubhaftigkeit seiner homosexuellen Orientierung nicht umstossen. So seien weder sein Porträt im (...) «C._______» noch die Teilnahme und Mitwirkung an der «Pride Parade» geeignet, seine Homosexualität zu belegen und die Einschätzung des SEM in Frage zu stellen. Im Übrigen liesse sich aus den besagten Beweismitteln infolge fehlender Exponiertheit keine zukünftig drohende Verfolgung im Iran ableiten.</w:t>
      </w:r>
    </w:p>
    <w:p>
      <w:r>
        <w:rPr>
          <w:b/>
        </w:rPr>
        <w:t>E. 4.2</w:t>
      </w:r>
    </w:p>
    <w:p>
      <w:r>
        <w:t>In seiner Rechtsmittelschrift wandte der Beschwerdeführer hinsichtlich des vorinstanzlichen Vorwurfs der Substanzlosigkeit ein, es sei ihm peinlich, über seine Homosexualität und die daraus entstandenen Probleme im Iran zu sprechen. Auch gegenüber seiner Rechtsvertreterin bekunde er grosse Mühe, entsprechende Fragen offen zu beantworten. Dies rühre unter anderem von kulturell bedingten Tabus her, einer verinnerlichten Homophobie sowie dem daraus erwachsenen inneren Zwiespalt und der Ablehnung der eigenen Identität (vgl. Unterstützungsschreiben von (...) vom 15. April 2017). Diese Umstände müssten bei der Beurteilung der Glaubhaftigkeit seiner Vorbringen berücksichtigt werden. Die vorinstanzlichen Fragen habe er in Anbetracht der inzwischen etliche Jahre zurückliegenden Ausreise ausführlich beantwortet. Des Weiteren verwies der Beschwerdeführer auf die mittels Unterstützungsschreiben belegten Sexualkontakte mit Männern sowie Besuche von entsprechenden Nachtklubs. Er nehme zudem regelmässig an psychologischen Gesprächen bei der Homosexuellenberatung der (...) teil. Im Übrigen dürfe gemäss Rechtsprechung des Europäischen Gerichtshofs (EuGH) die Glaubhaftigkeit einer vorgebrachten Homosexualität nicht nur deshalb verneint werden, weil sie erst im Verlauf des Asylverfahrens vorgebracht wurde. Erst im Jahr 2015 habe er sich gegenüber der (...) und (...) hinsichtlich seiner Orientierung offenbart, womit ihm die späte Geltendmachung nicht angelastet werden könne.</w:t>
      </w:r>
    </w:p>
    <w:p>
      <w:r>
        <w:rPr>
          <w:b/>
        </w:rPr>
        <w:t>E. 4.3</w:t>
      </w:r>
    </w:p>
    <w:p>
      <w:r>
        <w:t>Das Bundesverwaltungsgericht gelangt übereinstimmend mit der Vor-instanz zur Auffassung, dass sowohl die Verfolgungsvorbringen des Beschwerdeführers als auch seine geltend gemachte Homosexualität den Anforderungen von Art. 7 AsylG an die Glaubhaftmachung nicht genügen. Zur Vermeidung von Wiederholungen kann auf die sehr ausführlichen und überwiegend zutreffenden Erwägungen gemäss angefochtener Verfügung und Zusammenfassung in E. 4.1 verwiesen werden. Der Inhalt der Beschwerde führt zu keiner anderen Betrachtungsweise. Die geltend gemachten Schwierigkeiten, sich in einer ungewohnten Anhörungssituation zur Homosexualität zu äussern, vermögen weder die manifeste Substanzlosigkeit noch die sich in zahlreichen Anhörungspassagen offenbarende Inkonsistenz und Unplausibilität seiner Aussagen zu erklären. Die auf Beschwerdestufe eingereichten Schreiben, wonach er homosexuell sei, Sexualkontakte mit Männern eingehe und entsprechende Nachtklubs besuche, sind vor diesem Hintergrund als Gefälligkeitsschreiben ohne durchschlagende Beweiskraft zu qualifizieren. In Anbetracht der obigen Ausführungen erübrigt es sich, auf weitere Ungereimtheiten in der Asylbegründung des Beschwerdeführers einzugehen. Der Vollständigkeit halber ist in Stützung der vorinstanzlichen Erkenntnis festzuhalten, dass sich vor dem Hintergrund der Aktenlage weder aus der Teilnahme und Mitwirkung des Beschwerdeführers an der «Pride Parade» noch aus dem Porträt im (...) «C._______», in welchem er nicht hinreichend erkennbar oder identifizierbar ist, konkrete Hinweise auf eine zukünftig drohende Verfolgung im Heimatland ergeben.</w:t>
      </w:r>
    </w:p>
    <w:p>
      <w:r>
        <w:rPr>
          <w:b/>
        </w:rPr>
        <w:t>E. 4.4</w:t>
      </w:r>
    </w:p>
    <w:p>
      <w:r>
        <w:t>Aufgrund des Gesagten ist festzuhalten, dass das SEM das Bestehen einer Verfolgungssituation des Beschwerdeführers und mithin seine Flüchtlingseigenschaft sowie einen Anspruch auf Gewährung des Asyls zu Recht verneint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seinen Aussagen noch aus den Akten Anhaltspunkte dafür, dass er für den Fall einer Ausschaffung in den Iran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(vgl. Urteil des EGMR S.F. und andere gegen Schweden vom 15. Mai 2012, 52077/10, §§ 64 f.).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hielt in der angefochtenen Verfügung zutreffend fest, dass weder die im Iran herrschende politische Situation noch andere Gründe gegen die Zumutbarkeit der Rückführung des Beschwerdeführers in seinen Heimatstaat sprechen. Bei diesem handelt es sich um einen gesunden Mann mit mehrjähriger Schulbildung sowie einer gewissen Berufserfahrung. Zudem verfügt er - die vorgebrachten Probleme mit seiner Familie wurden als unglaubhaft bewertet (vgl. E. 4.3) - über ein familiäres Beziehungsnetz, welches ihn, sofern nötig, nach seiner längeren Landesabwesenheit bei der Wiedereingliederung in der Heimat unterstützen kann. Mithin bestehen keine Gründe dafür, dass er bei einer Rückkehr in seinen Heimatstaat in eine existenzielle Notlage geraten würde. Somit ist der Vollzug der Wegweisung auch als zumutbar zu qualifizieren.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weiter auf die eingereichten Beweismittel sowie Beschwerdevorbringen einzugehen. Die Beschwer-de ist abzuweisen.</w:t>
      </w:r>
    </w:p>
    <w:p>
      <w:r>
        <w:rPr>
          <w:b/>
        </w:rPr>
        <w:t>E. 8</w:t>
      </w:r>
    </w:p>
    <w:p>
      <w:r>
        <w:t>Bei diesem Ausgang des Verfahrens wären die Kosten dem unterliegenden Beschwerdeführer aufzuerlegen (Art. 63 Abs. 1 VwVG). Auf deren Erhebung ist jedoch angesichts der mit Zwischenverfügung des Bundesverwaltungsgerichts vom 8. Mai 2017 gewährten unentgeltlichen Rechtspflege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