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E-2425/2012 vom 15. Mai 2012</w:t>
      </w:r>
    </w:p>
    <w:p>
      <w:r>
        <w:t>Bundesverwaltungsgericht, 2012-05-15, DE</w:t>
      </w:r>
    </w:p>
    <w:p>
      <w:r>
        <w:rPr>
          <w:b/>
        </w:rPr>
        <w:t xml:space="preserve">Quelle: </w:t>
      </w:r>
      <w:r>
        <w:t>https://mcp.opencaselaw.ch/entscheid/bvger_E-2425_2012</w:t>
      </w:r>
    </w:p>
    <w:p>
      <w:r>
        <w:t>FR: TAF E-2425/2012 du 15 mai 2012</w:t>
      </w:r>
    </w:p>
    <w:p>
      <w:r>
        <w:t>IT: TAF E-2425/2012 del 15 maggio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6</w:t>
      </w:r>
    </w:p>
    <w:p>
      <w:r>
        <w:t>Die Beschwerdeführenden machen - soweit sie nicht frühere Vorbringen wiederholen oder am Urteil des Bundesverwaltungsgerichts appellatori-sche Kritik üben - geltend, mit den vorgelegten ärztlichen Berichten liege insofern ein Wiedererwägungsgrund vor, als damit ärztliche Einschätzungen des Gesundheitszustands der Beschwerdeführerin und ihres (...)es geschaffen worden seien, die das Gericht bei seinem Urteil noch nicht habe berücksichtigen können. Hinsichtlich dieses Vorbingens ist dem BFM mit Blick auf die Praxis des Bundesverwaltungsgerichts (vgl. etwa das Urteil E-1691/2012 vom 3. April 2012) darin zuzustimmen, dass die in den eingereichten ärztlichen Berichten vom 19. Januar und 2. März 2012 attestierten Krankheitsbilder (mittelgradige depressive Episode ohne somatische Symptome bei der Beschwerdeführerin; noch keine medizinische Diagnose bei [...]) entgegen den Ausführungen in der Beschwerdeschrift auch in Italien behandelbar sind, zumal dort die medizinische und psychotherapeutische Versorgung zureichend gewährleistet ist, so dass die ärztlichen Berichte an der Zumutbarkeit des Wegweisungsvollzugs im Rahmen des Dublin-Verfahrens nichts zu ändern vermögen. Entsprechendes gilt auch in Bezug auf die in den ärztlichen Berichten vom 27. April und 7. Mai 2012 ausgewiesenen Krankheitsbilder (posttraumatische Belastungsstörung und [...]). Insbesondere handelt es sich dabei nicht um ausgewiesene komplexe Krankheitsbilder und Behandlungsbedürfnisse, die gemäss Urteil des Bundesverwaltungsgerichts vom 28. November 2011 ausnahmsweise einen Vollzugsverzicht zu rechtfertigen vermöchten. Ausserdem stellt die Vorinstanz zu Recht fest, dass Italien die EU-rechtlichen Mindestanforderungen, auch wenn dieses Land in diesem Zusammenhang in der Kritik steht, ohne Beanstandung seitens der europäischen Kommission umgesetzt hat. Insofern fehlt es den mit den Arztberichten untermauerten Vorbringen an der wiedererwägungsrechtlichen Erheblichkeit.</w:t>
      </w:r>
    </w:p>
    <w:p>
      <w:r>
        <w:rPr>
          <w:b/>
        </w:rPr>
        <w:t>E. 7</w:t>
      </w:r>
    </w:p>
    <w:p>
      <w:r>
        <w:t>Aus diesen Erwägungen ergibt sich, dass die angefochtene Verfügung Bundesrecht nicht verletzt, den rechtserheblichen Sachverhalt richtig und vollständig feststellt und angemessen ist (Art. 106 AsylG). Die Beschwerde ist abzuweisen. Mit diesem Urteil fällt auch der einstweilige Vollzugsstopp dahin. 8.Nach dem Gesagten erweisen sich die Begehren als aussichtslos, so dass das Gesuch um unentgeltliche Rechtspflege gemäss Art. 65 Abs. 1 VwVG - ungeachtet einer allenfalls bestehenden wirtschaftlichen Bedürftigkeit der Beschwerdeführenden - abzuweisen ist. Alle übrigen Prozessanträge (Aussetzung des Vollzugs während des Beschwerdeverfahrens und Verzicht auf die Erhebung eines Kostenvorschusses) werden mit dem vorliegenden Entscheid in der Hauptsache gegenstandslos. 9.Bei diesem Ausgang des Verfahrens sind die Kosten den Beschwerdeführenden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