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E-2423/2013 vom 8. Juli 2014</w:t>
      </w:r>
    </w:p>
    <w:p>
      <w:r>
        <w:t>Bundesverwaltungsgericht, 2014-07-08, DE</w:t>
      </w:r>
    </w:p>
    <w:p>
      <w:r>
        <w:rPr>
          <w:b/>
        </w:rPr>
        <w:t xml:space="preserve">Quelle: </w:t>
      </w:r>
      <w:r>
        <w:t>https://mcp.opencaselaw.ch/entscheid/bvger_E-2423_2013</w:t>
      </w:r>
    </w:p>
    <w:p>
      <w:r>
        <w:t>FR: TAF E-2423/2013 du 8 juillet 2014</w:t>
      </w:r>
    </w:p>
    <w:p>
      <w:r>
        <w:t>IT: TAF E-2423/2013 del 8 luglio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Streitsachen im Zusammenhang mit vorläufigen Aufnahmen endgültig (Art. 83 Bst. c Ziff. BGG; vgl. auch Thomas Häberli, in: Bundesgerichtsgesetz, Niggli / Uebersax / Wiprächtiger [Hrsg.], 2. Aufl., Basel 2011, Art. 83 Rz. 97).</w:t>
      </w:r>
    </w:p>
    <w:p>
      <w:r>
        <w:rPr>
          <w:b/>
        </w:rPr>
        <w:t>E. 1.2</w:t>
      </w:r>
    </w:p>
    <w:p>
      <w:r>
        <w:t>Das Verfahren richtet sich nach den allgemeinen Bestimmungen der Bundesrechtspflege (Art. 112 AuG [SR 142.20]).</w:t>
      </w:r>
    </w:p>
    <w:p>
      <w:r>
        <w:rPr>
          <w:b/>
        </w:rPr>
        <w:t>E. 1.3</w:t>
      </w:r>
    </w:p>
    <w:p>
      <w:r>
        <w:t>Die Beschwerde ist frist- und formgerecht eingereicht (Art. 37 VGG, Art. 50 und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37 VGG und Art. 48 Abs. 1 VwVG).</w:t>
      </w:r>
    </w:p>
    <w:p>
      <w:r>
        <w:rPr>
          <w:b/>
        </w:rPr>
        <w:t>E. 1.4</w:t>
      </w:r>
    </w:p>
    <w:p>
      <w:r>
        <w:t>Auf die Beschwerde ist einzutreten.</w:t>
      </w:r>
    </w:p>
    <w:p>
      <w:r>
        <w:rPr>
          <w:b/>
        </w:rPr>
        <w:t>E. 1.5</w:t>
      </w:r>
    </w:p>
    <w:p>
      <w:r>
        <w:t>Mit Beschwerde kann die Verletzung von Bundesrecht, die unrichtige oder unvollständige Feststellung des rechtserheblichen Sachverhalts und die Unangemessenheit gerügt werden (Art. 49 VwVG)</w:t>
      </w:r>
    </w:p>
    <w:p>
      <w:r>
        <w:rPr>
          <w:b/>
        </w:rPr>
        <w:t>E. 2</w:t>
      </w:r>
    </w:p>
    <w:p>
      <w:r>
        <w:t>Die Eingabe vom 24. Juli 2012 von B._______ (Ehemann/Vater) an die Schweizerische Botschaft in Khartum wurde vom BFM zu Recht nicht als Asylgesuch aus dem Ausland behandelt (aArt. 20 AsylG [SR 142.31; vgl. auch die Übergangsbestimmungen der Änderungen des AsylG vom 28. September 2012), weil darin - auch sinngemäss - keine individuelle Verfolgung geltend gemacht worden war (zur Abgrenzung zwischen Familiennachzugsbegehren und Asylgesuch aus dem Ausland, vgl. auch BVGE 2007/19 S. 223 ff.).</w:t>
      </w:r>
    </w:p>
    <w:p>
      <w:r>
        <w:rPr>
          <w:b/>
        </w:rPr>
        <w:t>E. 3.1</w:t>
      </w:r>
    </w:p>
    <w:p>
      <w:r>
        <w:t>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Diese Bedingungen sind kumulativ zu erfüllen. Wie sich bereits aus dem Wortlaut der Bestimmung ergibt, besteht kein Rechtsanspruch auf Einbezug in die vorläufige Aufnahme; eine solche liegt im Ermessen der zuständigen Behörden.</w:t>
      </w:r>
    </w:p>
    <w:p>
      <w:r>
        <w:rPr>
          <w:b/>
        </w:rPr>
        <w:t>E. 3.2</w:t>
      </w:r>
    </w:p>
    <w:p>
      <w:r>
        <w:t>Ist die zeitliche Voraussetzung für den Familiennachzug nach Art. 85 Abs. 7 AuG (Ablauf dreier Jahre seit Anordnung der vorläufigen Aufnahme) erfüllt, muss das Gesuch um Einbezug in die vorläufige Aufnahme innerhalb von fünf Jahren - das Gesuch für den Nachzug von Kindern über zwölf Jahren innerhalb von zwölf Monaten - eingereicht werden (Art. 74 Abs. 3 der Verordnung vom 24. Oktober 2007 über Zulassung, Aufenthalt und Erwerbstätigkeit, VZAE [SR 142.201]). Nach Ablauf dieser Fristen kann ein Familiennachzug nur noch bei Vorliegen wichtiger familiärer Gründe bewilligt werden (Art. 74 Abs. 4 VZAE).</w:t>
      </w:r>
    </w:p>
    <w:p>
      <w:r>
        <w:rPr>
          <w:b/>
        </w:rPr>
        <w:t>E. 3.3.1</w:t>
      </w:r>
    </w:p>
    <w:p>
      <w:r>
        <w:t>Die Beschwerdeführerin und ihre Kinder wurden am 3. November 2008 in der Schweiz vorläufig aufgenommen. Das Gesuch um Einbezug in die vorläufige Aufnahme wurde am 15. August 2012 - mithin sowohl nach Ablauf der in Art. 85 Abs. 7 AuG genannten dreijährigen Sperrfrist als auch innert der Fünfjahresfrist von Art. 74 Abs. 3 VZAE - bei der kantonalen Migra­tionsbehörde registriert.</w:t>
      </w:r>
    </w:p>
    <w:p>
      <w:r>
        <w:rPr>
          <w:b/>
        </w:rPr>
        <w:t>E. 3.3.2</w:t>
      </w:r>
    </w:p>
    <w:p>
      <w:r>
        <w:t>Gemäss Akten handelt es sich bei B._______ um den am (...) 1999 in Khartum angetrauten Ehemann der Beschwerdeführerin; diese hat auch glaubhaft gemacht, dass er der Vater ihrer beiden Kinder ist.</w:t>
      </w:r>
    </w:p>
    <w:p>
      <w:r>
        <w:rPr>
          <w:b/>
        </w:rPr>
        <w:t>E. 3.3.3</w:t>
      </w:r>
    </w:p>
    <w:p>
      <w:r>
        <w:t>Um den Einbezug des Ehemannes (und Vaters) konnte somit unter Berufung auf Art. 85 Abs. 7 AuG nachgesucht werden.</w:t>
      </w:r>
    </w:p>
    <w:p>
      <w:r>
        <w:rPr>
          <w:b/>
        </w:rPr>
        <w:t>E. 4.1</w:t>
      </w:r>
    </w:p>
    <w:p>
      <w:r>
        <w:t>Das BFM führte zur Begründung seiner negativen Verfügung aus, die Voraussetzungen von Art. 85 Abs. 7 Bst. a und b AuG (Wille des gemeinsamen Zusammenwohnens, Vorhandensein einer bedarfsgerechten Woh­nung) seien gemäss Akten vorliegenden zwar erfüllt. Hingegen sei die Beschwerdeführerin fürsorgeabhängig, weshalb die Bedingung gemäss Art. 85 Abs. 7 Bst. c AuG nicht erfüllt sei. Das Gesuch sei deshalb - trotz der befürwortenden Haltung der kantonalen Migrationsbehörde - abzu­weisen.</w:t>
      </w:r>
    </w:p>
    <w:p>
      <w:r>
        <w:rPr>
          <w:b/>
        </w:rPr>
        <w:t>E. 4.2.1</w:t>
      </w:r>
    </w:p>
    <w:p>
      <w:r>
        <w:t>Die Beschwerdeführerin machte in ihrem Rechtsmittel vom 30. April 2013 einerseits geltend, in Art. 85 Abs. 7 AuG habe der Gesetzgeber zwar bewusst eine hohe Hürde für den Familiennachzug von vorläufig Aufgenommenen geschaffen. Es sei aber auch zu bedenken, dass die "vorläufige Aufnahme" in der Schweiz mitunter faktisch zu einem langjährigen und dauerhaften Aufenthalt führe. In solchen Fällen könne die Verweigerung des Familiennachzugs eine Verletzung des in Art. 8 EMRK verankerten Rechts auf Familienleben zur Folge haben. Die Beschwerdeführerin lebe seit nunmehr fünf Jahren in der Schweiz. Ihre Kinder seien eingeschult und hätten die prägenden Kinderjahre in der Schweiz verbracht. Der Aufenthalt der Familie sei gemäss schweizerischer Praxis bereits aufgrund des Kindeswohls faktisch dauerhaft begründet. Unter diesen Umständen dürfe der Ehefrau und den Kindern das in Art. 8 EMRK verankerte Recht auf Familienleben nicht verweigert werden.</w:t>
      </w:r>
    </w:p>
    <w:p>
      <w:r>
        <w:rPr>
          <w:b/>
        </w:rPr>
        <w:t>E. 4.2.2</w:t>
      </w:r>
    </w:p>
    <w:p>
      <w:r>
        <w:t>In der Beschwerde wurde weiter geltend gemacht, je nach Familienkonstellation seien die in Art. 85 Abs. 7 AuG genannten Voraussetzungen praktisch nicht zu erfüllen. Das BFM habe zu Unrecht ausschliesslich auf die aktuelle Sozialhilfeabhängigkeit der Beschwerdeführerin abgestellt und nicht berücksichtigt, dass diese sich sehr um ihre berufliche Integration und die zukünftige wirtschaftliche Unabhängigkeit bemühe (Absolvieren einer Berufsausbildung und intensives Lernen der deutschen Sprache). Es sei bekannt, dass alleinerziehende Mütter in der Schweiz einem weit überdurchschnittlich grossen Armutsrisiko ausgesetzt seien. Würde dem Ehemann die Einreise in die Schweiz zur Familie bewilligt, würden die Chancen der Familie steigen, sich aus der Sozialhilfeabhängigkeit zu befreien: Die Beschwerdeführerin könnte dann bei der Kinderbetreuung durch den Ehemann entlastet werden und wäre entsprechend flexibler bei der Arbeitssuche.</w:t>
      </w:r>
    </w:p>
    <w:p>
      <w:r>
        <w:rPr>
          <w:b/>
        </w:rPr>
        <w:t>E. 4.3</w:t>
      </w:r>
    </w:p>
    <w:p>
      <w:r>
        <w:t>Das BFM hielt in seiner Vernehmlassung vom 23. Mai 2013 ohne weitere Begründung vollumfänglich an seinen Erwägungen fest und beantragte die Abweisung der Beschwerde.</w:t>
      </w:r>
    </w:p>
    <w:p>
      <w:r>
        <w:rPr>
          <w:b/>
        </w:rPr>
        <w:t>E. 4.4</w:t>
      </w:r>
    </w:p>
    <w:p>
      <w:r>
        <w:t>In seiner vom Instruktionsrichter erbetenen Stellungnahme vom 24. Juni 2013 hielt das kantonale Migrationsamt fest, die Beschwerdeführerin und ihre Kinder würden zwar bis auf weiteres von der Wohnsitz­gemeinde finanziell unterstützt. Die Mutter absolviere aber eine Ausbildung zur Pflegerin, die Ende Juli 2013 beendet sein werde; dannzumal würden ihre Chancen auf dem Arbeitsmarkt deutlich steigen, zumal qualifiziertes Pflegepersonal gesucht sei. Die Beschwerdeführerin bemühe sich trotz ihrer Aufgaben als alleinerziehende Mutter intensiv um ihre Integration und um die Unabhängigkeit von der Sozialhilfe.</w:t>
      </w:r>
    </w:p>
    <w:p>
      <w:r>
        <w:rPr>
          <w:b/>
        </w:rPr>
        <w:t>E. 4.5</w:t>
      </w:r>
    </w:p>
    <w:p>
      <w:r>
        <w:t>In ihrer Stellungnahme vom 28. Juni 2013 hielt die Beschwerdeführerin vollumfänglich an ihren Anträgen fest.</w:t>
      </w:r>
    </w:p>
    <w:p>
      <w:r>
        <w:rPr>
          <w:b/>
        </w:rPr>
        <w:t>E. 4.6</w:t>
      </w:r>
    </w:p>
    <w:p>
      <w:r>
        <w:t>In der vom Instruktionsrichter angeforderten Auskunft vom 30. Okto­ber 2013 führte die Beschwerdeführerin unter Beilage entsprechender Beweismittel aus, sie habe ihre Ausbildung zur Pflegehelferin nunmehr erfolgreich abgeschlossen und sei aktuell auf Stellensuche. Zum Beleg reichte sie die entsprechenden Zeugnisse und Zertifikate, insgesamt sechs Beweismittel, zu den Akten. In ihrer Eingabe vom 19. Februar 2014 informierte die Beschwerdeführerin unter Einreichung entsprechender Beweismittel darüber, dass sie am 2. Dezember 2013 eine Teilzeitstelle in einem Pflegezentrum habe antreten können. Sie arbeite sehr gerne und habe die Anstellung angenommen, auch wenn sie dort nun nicht als Pflegehelferin, sondern als Hausmitarbeiterin tätig sei. Als alleinerziehende Mutter zweier schulpflichtiger Kinder könnte sie eine Vollzeitstelle nicht annehmen. Sie könne nun die Krankenkasse und den Grundbedarf der Familie mit ihrem Einkommen selber bestreiten; die Sozialbehörde müsse lediglich noch den Mietzins für die Wohnung übernehmen.</w:t>
      </w:r>
    </w:p>
    <w:p>
      <w:r>
        <w:rPr>
          <w:b/>
        </w:rPr>
        <w:t>E. 5</w:t>
      </w:r>
    </w:p>
    <w:p>
      <w:r>
        <w:t>Die beiden inhaltlichen Voraussetzungen für einen Familiennachzug gemäss Art. 85 Abs. 7 Bst. a und b AuG (Wille des Zusammenwohnens, Vorhandensein einer bedarfsgerechten Wohnung) sind gemäss Akten erfüllt, was auch vom BFM anerkannt wird. Im Rahmen des vorliegenden Verfahrens ist somit einzig die Frage zu klären, ob das Bundesamt das Gesuch zu Recht wegen Nichterfüllens der Voraussetzung von Art. 85 Abs. 7 Bst. c AuG (Sozialhilfeabhängigkeit) abgewiesen hat.</w:t>
      </w:r>
    </w:p>
    <w:p>
      <w:r>
        <w:rPr>
          <w:b/>
        </w:rPr>
        <w:t>E. 5.1</w:t>
      </w:r>
    </w:p>
    <w:p>
      <w:r>
        <w:t>Der Beschwerdeführerin ist zunächst insoweit beizupflichten, als das BFM seine Verfügung bei der konkreten Ausgangslage fälschlicherweise einzig mit der aktuellen Fürsorgeabhängigkeit begründet und sich nicht erkennbar mit der Frage der kurz- und mittelfristigen diesbezüglichen Perspektiven auseinandergesetzt hat: Das Bundesverwaltungsgericht hatte den Begriff der Sozialhilfeabhängigkeit bereits früher so ausgelegt, dass neben der aktuellen Situation auch die voraussichtliche zukünftige Entwicklung gebührend zu berücksichtigen sei (vgl. etwa Urteil D 387/2013 vom 17. April 2013 S. 4), und sich dabei an die analoge Praxis des Bundesgerichts zur insoweit identisch formulierten Bestimmung von Art. 44 Bst. c AuG, betreffend den Familiennachzug von Personen mit einer Aufenthaltsbewilligung angelehnt (vgl. BGE 139 I 341 ff. E. 4 m.w.H., Urteil des BGer 2C_685/2010 vom 30. Mai 2011 E. 2.3). Insoweit muss sich das BFM in der Tat eine unvollständige Sachverhaltsfeststellung vorwerfen lassen.</w:t>
      </w:r>
    </w:p>
    <w:p>
      <w:r>
        <w:rPr>
          <w:b/>
        </w:rPr>
        <w:t>E. 5.2</w:t>
      </w:r>
    </w:p>
    <w:p>
      <w:r>
        <w:t>Kurze Zeit nach Erlass der angefochtenen Verfügung konnte die Beschwerdeführerin ihre in der Schweiz absolvierte Berufsausbildung erfolgreich abschliessen und danach eine Teilzeitstelle antreten. Gemäss Akten gelang es ihr damit, sich aus ihrer Sozialhilfeabhängigkeit weitgehend zu befreien; der Sozialdienst muss heute einzig noch den Mietzins ihrer Wohnung von Fr. 1275.- monatlich finanzieren.</w:t>
      </w:r>
    </w:p>
    <w:p>
      <w:r>
        <w:rPr>
          <w:b/>
        </w:rPr>
        <w:t>E. 5.3</w:t>
      </w:r>
    </w:p>
    <w:p>
      <w:r>
        <w:t>Bei der Beurteilung der kurz- und mittelfristigen Prognose der wirtschaftlichen Situation der Beschwerdeführerin und ihrer Familie ist Folgendes in Betracht zu ziehen:</w:t>
      </w:r>
    </w:p>
    <w:p>
      <w:r>
        <w:rPr>
          <w:b/>
        </w:rPr>
        <w:t>E. 5.3.1</w:t>
      </w:r>
    </w:p>
    <w:p>
      <w:r>
        <w:t>Gemäss Akten würde die Beschwerdeführerin bei einem Beschäftigungsgrad von 100 % ein monatliches Nettoeinkommen von Fr. 4836.- erzielen. Sie kann aufgrund ihrer familiären Verpflichtungen als alleinerziehende Mutter zurzeit nachvollziehbarerweise nur mit einem 50 %-Beschäftigungsgrad erwerbstätig sein und erzielt damit ein Nettoeinkommen von Fr. 2418.-. Um auch den aktuellen Mietzins von Fr. Fr. 1275.- selber finanzieren zu können, müsste sie ihren Beschäftigungsgrad um rund 25 % erhöhen.</w:t>
      </w:r>
    </w:p>
    <w:p>
      <w:r>
        <w:rPr>
          <w:b/>
        </w:rPr>
        <w:t>E. 5.3.2</w:t>
      </w:r>
    </w:p>
    <w:p>
      <w:r>
        <w:t>Das Gericht geht davon aus, dass die Beschwerdeführerin bei Anwesenheit ihres Ehemannes, der sie bei der Betreuung der gemeinsamen Kinder entlasten würde, den Beschäftigungsgrad ihrer aktuellen Anstellung - für die sie beruflich nunmehr offenbar überqualifiziert ist - auf 80-100 % steigern oder eine entsprechende Stelle in ihrem neu erlernten Beruf als Pflegehelferin annehmen könnte und würde. Auf diese Weise würde sie die Mietkosten und die zusätzlichen Lebenskosten ihres Partners selber tragen können.</w:t>
      </w:r>
    </w:p>
    <w:p>
      <w:r>
        <w:rPr>
          <w:b/>
        </w:rPr>
        <w:t>E. 5.3.3</w:t>
      </w:r>
    </w:p>
    <w:p>
      <w:r>
        <w:t>Diese günstige Prognose stützt das Gericht einerseits auf die bei den Akten liegenden positiven Einschätzungen des kantonalen Migrationsamts ab. Es darf davon ausgegangen werden, dass die mit der Persönlichkeit der Beschwerdeführerin sowie den lokalen wirtschaftlichen Verhältnissen vertraute Behörde eine realistische Beurteilung der ökonomischen Leistungsfähigkeit der Beschwerdeführerin und deren Einkommenspotenzials abzugeben vermag.</w:t>
      </w:r>
    </w:p>
    <w:p>
      <w:r>
        <w:rPr>
          <w:b/>
        </w:rPr>
        <w:t>E. 5.3.4</w:t>
      </w:r>
    </w:p>
    <w:p>
      <w:r>
        <w:t>Andererseits hat die Beschwerdeführerin während ihres sechsjährigen Aufenthalts in der Schweiz ihre soziale und berufliche Integration gemäss Akten zielgerichtet und kraftvoll vorangetrieben. Im Rahmen des vorliegenden Verfahrens kann und darf es nicht darum gehen, ihre Inte­grationsbemühungen zu honorieren. Angesichts des bisherigen Verhaltens traut das Gericht der Beschwerdeführerin aber zu, dass es ihr nach Einreise ihres Ehemannes gelingen wird, sich bald gänzlich aus der Sozialhilfeabhängigkeit zu befreien.</w:t>
      </w:r>
    </w:p>
    <w:p>
      <w:r>
        <w:rPr>
          <w:b/>
        </w:rPr>
        <w:t>E. 5.4</w:t>
      </w:r>
    </w:p>
    <w:p>
      <w:r>
        <w:t>Unter diesen Umständen kann die Berechtigung der Rügen offen­bleiben, die Verweigerung der Familienzusammenführung verletzte das Recht auf Familienleben gemäss Art. 8 EMRK oder das Diskriminierungsverbot von Art. 14 EMRK. Immerhin darf in diesem Zusammenhang festgehalten werden, dass es kaum dem Willen des Gesetzgebers entsprechen dürfte, bestimmte Gruppen von vorläufig aufgenommenen Personen, konkret die alleinerziehenden Frauen, vom Recht auf Familiennachzug faktisch auszuschliessen (vgl. in diesem Zusammenhang das Urteil E 1339/2010 des Bundesverwaltungsgerichts vom 24. Juli 2013, in dem die Beschwerde gegen den verweigerten Familiennachzug einer wegen körperlicher Behinderung weitgehend erwerbsunfähigen Person gutgeheissen worden war).</w:t>
      </w:r>
    </w:p>
    <w:p>
      <w:r>
        <w:rPr>
          <w:b/>
        </w:rPr>
        <w:t>E. 5.5</w:t>
      </w:r>
    </w:p>
    <w:p>
      <w:r>
        <w:t>Nach dem Gesagten sind sämtliche in Art. 85 Abs. 7 AuG genannten, kumulativ zu erfüllenden Voraussetzungen für den Familiennachzug erfüllt. Ausschlussgründe für einen Einbezug in die vorläufige Aufnahme ergeben sich aus den Akten nicht.</w:t>
      </w:r>
    </w:p>
    <w:p>
      <w:r>
        <w:rPr>
          <w:b/>
        </w:rPr>
        <w:t>E. 6</w:t>
      </w:r>
    </w:p>
    <w:p>
      <w:r>
        <w:t>Die Beschwerde ist gutzuheissen und die angefochtene Verfügung vom 3. April 2013 aufzuheben. Das BFM ist anzuweisen, die Einreise von B._______ zu bewilligen und ihn nach erfolgter Einreise in die vorläufige Aufnahme seiner Angehörigen einzuschliessen.</w:t>
      </w:r>
    </w:p>
    <w:p>
      <w:r>
        <w:rPr>
          <w:b/>
        </w:rPr>
        <w:t>E. 7</w:t>
      </w:r>
    </w:p>
    <w:p>
      <w:r>
        <w:t>Bei diesem Ausgang des Verfahrens sind keine Verfahrenskosten aufzuerlegen (Art. 63 Abs. 1 und 2 VwVG). Der vertretenen Beschwerdeführerin ist angesichts ihres Obsiegens ausserdem eine Parteientschädigung für die ihr notwendigerweise erwachsenen Kosten zuzusprechen (Art. 64 Abs. 1 VwVG und Art. 16 Abs. 1 Bst. a VGG i.V.m. Art. 7 des Reglements vom 21. Februar 2008 über die Kosten und Entschädigungen vor dem Bundesverwaltungsgericht [VGKE, SR 173.320.2]). Ihre Rechtsvertretung hat keine Kostennote eingereicht, weshalb die notwendigen Parteikosten aufgrund der Akten festzustellen ist (Art. 14 Abs. 2 VGKE). Unter Würdigung der massgebenden Bemessungsfaktoren ist die Parteientschädigung auf insgesamt Fr. 900.- (inkl. sämtlicher Auslagen und Nebenkosten)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