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E-2422/2012 vom 10. Mai 2012</w:t>
      </w:r>
    </w:p>
    <w:p>
      <w:r>
        <w:t>Bundesverwaltungsgericht, 2012-05-10, DE</w:t>
      </w:r>
    </w:p>
    <w:p>
      <w:r>
        <w:rPr>
          <w:b/>
        </w:rPr>
        <w:t xml:space="preserve">Quelle: </w:t>
      </w:r>
      <w:r>
        <w:t>https://mcp.opencaselaw.ch/entscheid/bvger_E-2422_2012</w:t>
      </w:r>
    </w:p>
    <w:p>
      <w:r>
        <w:t>FR: TAF E-2422/2012 du 10 mai 2012</w:t>
      </w:r>
    </w:p>
    <w:p>
      <w:r>
        <w:t>IT: TAF E-2422/2012 del 10 maggio 2012</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w:t>
      </w:r>
    </w:p>
    <w:p>
      <w:r>
        <w:rPr>
          <w:b/>
        </w:rPr>
        <w:t>E. 1.2</w:t>
      </w:r>
    </w:p>
    <w:p>
      <w:r>
        <w:t>Die Beschwerde richtet sich gegen die Zwischenverfügung des BFM vom 25. April 2012. Eine Zwischenverfügung, mit der in einem Wiedererwägungsverfahren - wie hier - gestützt auf Art. 17b AsylG ein Gebührenvorschuss erhoben und gleichzeitig das Gesuch um Aussetzung des Wegweisungsvollzugs abgewiesen wird, ist in Bezug auf die Gebührenvorschusserhebung nicht anfechtbar, wohl aber in Bezug auf die Verweigerung der Vollzugsaussetzung, weil sie im Sinne von Art. 107 Abs. 2 Bst. a AsylG einen nicht wieder gutzumachenden Nachteil bewirken kann (BVGE 2007/18 E. 4, mit Hinweisen). Mit vorliegender Beschwerde wird einzig die Aussetzung des Vollzugs der Wegweisung angefochten, was zulässig ist.</w:t>
      </w:r>
    </w:p>
    <w:p>
      <w:r>
        <w:rPr>
          <w:b/>
        </w:rPr>
        <w:t>E. 1.3</w:t>
      </w:r>
    </w:p>
    <w:p>
      <w:r>
        <w:t>Die Beschwerdeführenden sind als Verfügungsadressaten zur Beschwerdeführung legitimiert (Art. 48 VwVG). Auf die form- und fristgerecht eingereichte Beschwerde (Art. 52 VwVG und 108 Abs. 1 AsylG, 2. Halbsatz)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112 AsylG hemmt die Einreichung ausserordentlicher Rechtsmittel und Rechtsbehelfe (wie Wiedererwägungsgesuche) den Vollzug nicht, es sei denn, die für die Behandlung zuständige Behörde entscheide anders. Der Zuerkennung der aufschiebenden Wirkung oder der Aussetzung des Vollzuges kommt funktionell die Bedeutung einer vorsorglichen Massnahme gleich. Voraussetzung ist, dass konkrete Hinweise für die Begründetheit des Begehrens in der Sache vorliegen und der Vollzug der Wegweisung einen erheblichen und nicht wieder gutzumachenden Nachteil bewirken würde (vgl. Art. 107 Abs. 2 AsylG). Die Beschwerdeführenden haben demnach ein überwiegendes privates Interesse am Verbleib in der Schweiz darzutun, welches das grundsätzlich erhebliche öffentliche Interesse am rechtskräftig verfügten Vollzug der Wegweisung überwiegt (vgl. Alfred Kölz/Isabelle Häner, Verwaltungsverfahren und Verwaltungsrechtspflege des Bundes, 2. Aufl., Zürich 1998, S. 122 Rz. 335).</w:t>
      </w:r>
    </w:p>
    <w:p>
      <w:r>
        <w:rPr>
          <w:b/>
        </w:rPr>
        <w:t>E. 4.1</w:t>
      </w:r>
    </w:p>
    <w:p>
      <w:r>
        <w:t>Die Vorinstanz verweigert die Aussetzung des Wegweisungsvollzuges, da sie das Wiedererwägungsgesuch für aussichtslos erachtet. Zur Begründung führt sie aus, Ungarn habe die europäische Menschenrechtskonvention (EMRK) ratifiziert. Personen, welche aufgrund der Dublin-II-VO nach Ungarn überstellt würden, hätten die Möglichkeit ein neues Asylgesuch zu stellen. Dieses habe als Mehrfachgesuch zwar keine aufschiebende Wirkung in Bezug auf die bereits angeordnete Wegweisung, indes sei damit der Zugang zum materiellen Verfahren gewährleistet. Ungarn sei an die Aufnahmerichtlinien (Richtlinie 2003/9/EG des Rates vom 27. Januar 2003 zur Festlegung von Mindestnormen für die Aufnahme von Asylbewerbern in den Mitgliedstaaten) gebunden. Die Beschwerdeführenden könnten sich an die zuständigen ungarischen Behörden wenden, um Unterstützung zu erhalten. Nach der Praxis des Bundesverwaltungsgerichts weise das ungarische Asylsystem zwar Mängel auf, sei aber rechtsstaatlich legitim.</w:t>
      </w:r>
    </w:p>
    <w:p>
      <w:r>
        <w:rPr>
          <w:b/>
        </w:rPr>
        <w:t>E. 4.2</w:t>
      </w:r>
    </w:p>
    <w:p>
      <w:r>
        <w:t>Die Beschwerdeführenden machen im Wiedererwägungsgesuch wie auch in der Beschwerde die schwierigen Verhältnissen, die für Asylsuchende in Ungarn herrschen, sowie die Möglichkeit einer allfälligen Kettenabschiebung geltend.</w:t>
      </w:r>
    </w:p>
    <w:p>
      <w:r>
        <w:rPr>
          <w:b/>
        </w:rPr>
        <w:t>E. 5.1</w:t>
      </w:r>
    </w:p>
    <w:p>
      <w:r>
        <w:t>Ein Wiedererwägungsgesuch ist gutzuheissen, wenn sich der rechtserhebliche Sachverhalt seit dem ursprünglichen Entscheid be­ziehungsweise seit dem Urteil der mit Beschwerde angerufenen Rechtsmittelinstanz in wesentlicher Weise verändert hat, so dass die ursprüngliche (fehlerfreie) Verfügung an nachträglich eingetretene Veränderungen der Sachlage anzupassen ist.</w:t>
      </w:r>
    </w:p>
    <w:p>
      <w:r>
        <w:rPr>
          <w:b/>
        </w:rPr>
        <w:t>E. 5.2</w:t>
      </w:r>
    </w:p>
    <w:p>
      <w:r>
        <w:t>Aufgrund der Akten ist festzustellen, dass betreffend die Beschwerdeführenden bereits ein rechtkräftiges Urteil des Bundesverwaltungsgerichts vom 7. November 2011 (Nichteintreten auf Asylgesuch und Wegweisung [Dublin-Verfahren]) vorliegt, wie auch ein abgewiesenes Revisionsgesuch. Mit ihren Ausführungen zur Situation von Asylsuchenden in Ungarn bringen die Beschwerdeführenden nichts vor, was nicht bereits durch das Gericht beurteilt worden ist. Damit sind alle relevant erscheinenden Vorbringen mit Rechtskraft belegt. Namentlich wurde die von den Beschwerdeführenden bei einer Wegweisung nach Ungarn anzutreffende Situation bereits hinreichend gewürdigt. Es ist festgestellt worden, dass sich Ungarn als Mitgliedstaat des Dublin-Raums an die geltenden völkerrechtlichen Mindestverpflichtungen halte. Weiter ist festzuhalten, dass die Beschwerdeführenden in der Rechtsmitteleingabe nicht aufzeigen, inwiefern die angefochtene Zwischenverfügung Bundesrecht verletzen soll. Solches ist auch nicht ersichtlich. Die Vorinstanz anerkennt, dass das ungarische Asylsystem zwar Mängel aufweist, geht aber dennoch und zutreffend davon aus, dass Ungarn die EMRK ratifiziert hat, sich an die Aufnahmerichtlinien halten würde und die Beschwerdeführenden erneut um Asyl nachsuchen können. Die Vorinstanz verletzt daher kein Bundesrecht, wenn sie im Rahmen ihrer antizipierten und summarischen Begründung die Aussichtslosigkeit des Wiedererwägungsgesuchs annimmt.</w:t>
      </w:r>
    </w:p>
    <w:p>
      <w:r>
        <w:rPr>
          <w:b/>
        </w:rPr>
        <w:t>E. 6</w:t>
      </w:r>
    </w:p>
    <w:p>
      <w:r>
        <w:t>Aufgrund der vorstehenden Erwägungen ergibt sich, dass die Vorinstanz den Vollzug der Wegweisung zu Recht nicht ausgesetzt hat. Es bestehen keine Anhaltspunkte dafür, dass Ungarn sich nicht an die massgebenden völkerrechtlichen Bestimmungen, insbesondere an das Rückschiebungsverbot oder die einschlägigen Normen der EMRK, halten würde. Die vorinstanzliche Verfügung ist damit zu bestätigen. Das Gesuch, der Beschwerde sie die aufschiebende Wirkung zuzuerkennen, und das Gesuch um superprovisorische Massnahmen sind mit dem vorliegenden Endentscheid gegenstandslos geworden.</w:t>
      </w:r>
    </w:p>
    <w:p>
      <w:r>
        <w:rPr>
          <w:b/>
        </w:rPr>
        <w:t>E. 7</w:t>
      </w:r>
    </w:p>
    <w:p>
      <w:r>
        <w:t>Die Beschwerdeführenden stellen ein Gesuch um Gewährung der unentgeltlichen Rechtspflege nach Art. 65 Abs. 1 und Abs. 2 VwVG. Da ihre Begehren im Beschwerdeverfahren im Sinne des Gesetzes als aussichtslos zu gelten haben, sind die Gesuche abzuweisen. Dem Ausgang des Verfahrens entsprechend, sind die Kosten den Beschwerdeführenden aufzuerlegen (Art. 63 Abs. 1 VwVG) und auf insgesamt Fr. 600.- festzusetzen (Art. 1 - 3 des Reglements vom 21. Februar 2008 über die Kosten und Entschädigungen vor dem Bundesverwaltungsgericht [VGKE, SR 173.320.2]). Das Gesuch um Verzicht auf die Erhebung eines Kostenvorschusses wird mit diesem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