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E-2410/2012 vom 12. Dezember 2012</w:t>
      </w:r>
    </w:p>
    <w:p>
      <w:r>
        <w:t>Bundesverwaltungsgericht, 2012-12-12, DE</w:t>
      </w:r>
    </w:p>
    <w:p>
      <w:r>
        <w:rPr>
          <w:b/>
        </w:rPr>
        <w:t xml:space="preserve">Quelle: </w:t>
      </w:r>
      <w:r>
        <w:t>https://mcp.opencaselaw.ch/entscheid/bvger_E-2410_2012</w:t>
      </w:r>
    </w:p>
    <w:p>
      <w:r>
        <w:t>FR: TAF E-2410/2012 du 12 décembre 2012</w:t>
      </w:r>
    </w:p>
    <w:p>
      <w:r>
        <w:t>IT: TAF E-2410/2012 del 12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wie auch vorliegend,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unter dem Vornehalt der nachfolgenden Erwägungen einzutreten.</w:t>
      </w:r>
    </w:p>
    <w:p>
      <w:r>
        <w:rPr>
          <w:b/>
        </w:rPr>
        <w:t>E. 1.4</w:t>
      </w:r>
    </w:p>
    <w:p>
      <w:r>
        <w:t>Mit der Wiederanmeldungsmitteilung der kantonalen Behörde (vgl. Bst. H) fallen die Zwischenverfügung vom 7. September 2012 und die in Antwort darauf gestellten Anträge des Beschwerdeführers dahin. In Bezug auf den in seiner Eingabe vom 25. September 2012 gestellten Antrag auf Fristansetzung zur Einreichung eines ärztlichen Zeugnisses ist festzustellen, dass der Beschwerdeführer seit Beschwerdeeinreichung während einer längeren Dauer als der von ihm geforderten drei Monate Gelegenheit gehabt hätte, die in Aussicht gestellten Beweismittel im Rahmen der ihm obliegenden Mitwirkungspflicht (Art. 8 Abs. 1 Bst. d AsylG) ins Recht zu legen, was er bislang nicht getan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Der Beschwerdeführer macht zunächst eine Verletzung formellen Rechts geltend und bringt vor, die Vorinstanz habe das rechtliche Gehör in mehrfacher Hinsicht verletzt.</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S. 188).</w:t>
      </w:r>
    </w:p>
    <w:p>
      <w:r>
        <w:rPr>
          <w:b/>
        </w:rPr>
        <w:t>E. 4.3.1</w:t>
      </w:r>
    </w:p>
    <w:p>
      <w:r>
        <w:t>Soweit der Beschwerdeführer kritisiert, die Vorinstanz ignoriere das Grundsatzurteil des Bundesverwaltungsgerichts BVGE 2011/24 zur Lageanalyse in Sri Lanka (Beschwerde, S. 8 und 9), übt er rein appellatorische Kritik. Damit zielt er auf die rechtliche Würdigung der Vorinstanz ab und verkennt dabei, dass der Gehörsanspruch grundsätzlich nur den rechtserheblichen Sachverhalt, nicht aber Rechtsnormen oder von den Behörden vorgesehene rechtliche Begründungen betrifft (vgl. BGE 132 II 485 E. 3.2 S. 494).</w:t>
      </w:r>
    </w:p>
    <w:p>
      <w:r>
        <w:rPr>
          <w:b/>
        </w:rPr>
        <w:t>E. 4.3.2</w:t>
      </w:r>
    </w:p>
    <w:p>
      <w:r>
        <w:t>Der Beschwerdeführer nimmt eine Gehörsverletzung an, weil die letzte Anhörung über zwei Jahre vor dem Erlass der angefochtenen Verfügung stattgefunden, die Vorinstanz die neueste Entwicklung unberücksichtigt gelassen und zu zahlreichen Elementen keine Fragen gestellt habe (Beschwerde, S. 5, 6 und 10). Die Vorbringen enthalten indessen nichts, was über die Rüge einer Verletzung der Untersuchungspflicht hinausginge (dazu E. 4). Entgegen der Behauptung des Beschwerdeführers steht aufgrund der Akten fest, dass ihm das Recht auf vorgängige Stellungnahme an den Anhörungen gewährt wurde. Eine Gehörsverletzung liegt nicht vor (Urteil des Bundesverwaltungsgerichts E-6817/2011 vom 3. Oktober 2012).</w:t>
      </w:r>
    </w:p>
    <w:p>
      <w:r>
        <w:rPr>
          <w:b/>
        </w:rPr>
        <w:t>E. 4.3.3</w:t>
      </w:r>
    </w:p>
    <w:p>
      <w:r>
        <w:t>Die Rüge, die angefochtene Verfügung verletze die Begründungspflicht, geht fehl. Aus dem Umstand, dass das Aktenverzeichnis "keinerlei länderspezifische Informationen in der Sache des Beschwerdeführers" und auch keine Länderberichte enthält und auch in keiner Aktennotiz auf solche Informationen hingewiesen wird, lässt entgegen der Beschwerdeschrift nicht darauf schliessen, dass das BFM keinerlei solche Informationen beigezogen hätte. In diesem Zusammenhang gilt es festzuhalten, dass Fachwissen als solches wie etwa Kenntnisse über das Herkunftsland nicht ediert werden kann. Eine Offenlegung bzw. Auflistung sämtlicher verwendeter Quellen in Verfügungen ist im Verwaltungsverfahren denn auch weder üblich noch erforderlich, zumal es sich bei einer Verfügung nicht um eine wissenschaftliche Abhandlung handelt. Die Vorinstanz hat in der angefochtenen Verfügung einlässlich begründet, inwiefern sich die Situation in Sri Lanka seit dem Ende des Bürgerkriegs verändert habe und wie es die Situation heute einschätze. Die Beschwerde selbst zeigt denn auch, dass eine sachgerechte Anfechtung möglich war. Der Begründungspflicht ist damit Genüge getan. Entsprechendes gilt auch bezüglich der Rüge, einzelne Sachverhaltselemente wie etwa die Asylgründe, welche sich vor 2002 ereignet haben sollen, oder die Ereignisse im Januar 2009 seien in der Begründung der angefochtenen Verfügung unerwähnt geblieben. Wie oben ausgeführt, ist die Vorinstanz nicht gehalten, jedes einzelne Sachverhaltselement in der Begründung ausdrücklich zu würdigen, wenn dieses nicht geeignet ist, ihre Einschätzung zu ändern (siehe zur materiellen Relevanz jener Sachverhaltselemente unten E. 5.5).</w:t>
      </w:r>
    </w:p>
    <w:p>
      <w:r>
        <w:rPr>
          <w:b/>
        </w:rPr>
        <w:t>E. 5.1</w:t>
      </w:r>
    </w:p>
    <w:p>
      <w:r>
        <w:t>Der Beschwerdeführer bringt sodann zum Sachverhalt vor, einige Elemente seien nicht abschliessend oder überhaupt nicht abgeklärt worden.</w:t>
      </w:r>
    </w:p>
    <w:p>
      <w:r>
        <w:rPr>
          <w:b/>
        </w:rPr>
        <w:t>E. 5.2</w:t>
      </w:r>
    </w:p>
    <w:p>
      <w:r>
        <w:t>Gemäss Art. 12 VwVG stellt die Behörde den Sachverhalt von Amtes wegen fest und bedient sich nötigenfalls der gesetzlichen Beweismittel (Bstn. a-e). Der Untersuchungsgrundsatz findet seine Grenze an der Mitwirkungspflicht der Asylsuchenden (Art. 8 AsylG sowie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(Christoph Auer, Streitgegenstand und Rügeprinzip im Spannungsfeld der verwaltungsrechtlichen Prozessmaximen, Diss. Bern 1997, S. 79 f.; Urteil des Bundesverwaltungsgerichts E-36/2008 vom 30. November 2011 E. 5.1).</w:t>
      </w:r>
    </w:p>
    <w:p>
      <w:r>
        <w:rPr>
          <w:b/>
        </w:rPr>
        <w:t>E. 5.3</w:t>
      </w:r>
    </w:p>
    <w:p>
      <w:r>
        <w:t>Der Beschwerdeführer beanstandet offengebliebene Sachverhaltselemente, ohne sich mit den Feststellungen in der angefochtenen Verfügung auseinanderzusetzen. Statt dessen stellt er ihnen eigene Fragen gegenüber, die seiner Ansicht nach hätten gestellt werden können (Beschwerde, S. 10 und 11). Damit zeigt er nicht auf, inwieweit die Sachverhaltsfeststellung im Lichte der einschlägigen Rechtsnormen unvollständig sein soll, und solches ist auch nicht ersichtlich (Urteil des Bundesverwaltungsgerichts E-6817/2011 vom 3. Oktober 2012). Eine Unvollständigkeit erblickt der Beschwerdeführer ferner darin, dass er zu den aktuellen Ereignissen der vergangenen zweieinhalb Jahre nicht angehört worden sei. Die Anhörung fand im Oktober 2009, mithin einige Monate nach dem militärischen Ende des Bürgerkriegs in Sri Lanka, statt. Damit steht fest, dass der Beschwerdeführer sich bereits im erstinstanzlichen Verfahren zu seiner persönlichen Situation (einschliesslich seiner Gesundheit) und jener seiner Angehörigen nach dem Kriegsende hätte äussern können. Entgegen seiner auf Beschwerdeebene vertretenen Auffassung beschränkt sich seine Mitwirkungspflicht im Sinne von Art. 8 AsylG dagegen nicht darauf, den Behörden des Bundes und der Kantone jederzeit zur Verfügung zu stehen; sie verlangt vielmehr auch, dass Asylsuchende bei der Feststellung des Sachverhaltes aktiv mitwirken, d.h. allfällige Veränderungen der Sachlage, neue Beweismittel und dergleichen unaufgefordert bekanntgeben (BVGE 2011/27 E. 4.2 S. 539). Dem Beschwerdeführer wäre es jederzeit möglich und zumutbar gewesen, die Behörden über allfällige Veränderungen, die er als rechtserheblich erachtet, in Kenntnis zu setzen, wozu aber offenbar kein Anlass bestand. Insbesondere weist die auf Beschwerdeebene ansatzweise geltend gemachte, seit der letzten Anhörung angeblich weggefallene Angst des Beschwerdeführers davor, alle Informationen bezüglich früherer Tätigkeiten bei den LTTE und Verbindungen von Familienangehörigen zu diesen preiszugeben, nicht auf eine Verletzung des Untersuchungsgrundsatzes, sondern vielmehr auf eine Verletzung der Mitwirkungspflicht des Beschwerdeführers hin. Eine weitere Unvollständigkeit der Sachverhaltserhebung erblickt der Beschwerdeführer ferner darin, dass ihm in den Befragungen angeblich nicht Gelegenheit geboten worden sei, die Asylgründe zu schildern, die ihn 2002 dazu bewogen hätten, Sri Lanka zu verlassen und in Frankreich ein Asylgesuch zu stellen. Aus den Akten geht jedoch hervor, dass er zwar tatsächlich dabei unterbrochen wurde und er nicht alle Details vorbringen konnte. Es ist aber nicht ersichtlich und geht insbesondere auch aus der Beschwerde nicht hervor, inwiefern der Sachverhalt, soweit er rechtserheblich ist, diesbezüglich nicht vollständig festgestellt worden wäre, zumal der Beschwerdeführer diesbezüglich auch auf Beschwerdeebene nichts Wesentliches ergänzt und diese Vorbringen angesichts der Tatsachen, dass sein Asylverfahren in Frankreich mit einem negativen Entscheid abgeschlossen worden ist und er von 2006 bis Januar 2009 wieder unbehelligt an seinem alten Wohnort gelebt hatte, nicht ins Gewicht fallen. Alle übrigen Rügen der unvollständigen oder unrichtigen Sachverhaltsfeststellung betreffen dagegen nicht die Erhebung des Sachverhalts als solchen, sondern dessen Würdigung, wobei die Rüge, die Feststellungen des BFM zur Lage in Sri Lanka seien unzutreffend, mit Blick auf das vorgenannte Grundsatzurteil unbegründet ist. Soweit unter Bezugnahme auf das Grundsatzurteil vorgebracht wird, das Bundesverwaltungsgericht unterscheide nicht zwischen LTTE-Kader und blossen Hilfspersonen der LTTE, trifft dieses Vorbringen zwar zu (BVGE 2011/24 E. 8.1 S. 493 f.), ist aber unbehelflich. Denn die Feststellung des BFM, dass der Beschwerdeführer nie geltend gemacht habe, ein aktives oder führendes Mitglied der LTTE gewesen zu sein, ist nicht tatsachenwidrig, und die Tatsachenfeststellung selbst wird vom Beschwerdeführer nicht angefochten. Das Bundesverwaltungsgericht geht somit davon aus, dass das BFM den erheblichen Sachverhalt rechtsgenüglich erstellt hat und der Begründungspflicht ausreichend nachgekommen ist. Entgegen der in der Beschwerde vertretenen Auffassung musste es weder eine ärztliche Begutachtung des Beschwerdeführers anordnen noch diesen einlässlicher befragen. Bei dieser Sachlage besteht somit keine Veranlassung, die angefochtene Verfügung aus formellen Gründen aufzuheben, weshalb die entsprechenden Rechtsbegehren abzuweisen sind. Ebenso erübrigt es sich, dem Beschwerdeführer Frist zur Einreichung von weiteren Beweismitteln anzusetzen.</w:t>
      </w:r>
    </w:p>
    <w:p>
      <w:r>
        <w:rPr>
          <w:b/>
        </w:rPr>
        <w:t>E. 6.1</w:t>
      </w:r>
    </w:p>
    <w:p>
      <w:r>
        <w:t>Der Beschwerdeführer führt zum materiellen Recht aus, die Vorinstanz habe Bundesrecht, insbesondere Art. 3 AsylG, verletzt.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AsylG).</w:t>
      </w:r>
    </w:p>
    <w:p>
      <w:r>
        <w:rPr>
          <w:b/>
        </w:rPr>
        <w:t>E. 6.3</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(BVGE 2008/34 E. 7.1; BVGE 2007/31 5.3 je m.w.H.) Das Bundesverwaltungsgericht nahm in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w:t>
      </w:r>
    </w:p>
    <w:p>
      <w:r>
        <w:rPr>
          <w:b/>
        </w:rPr>
        <w:t>E. 6.4</w:t>
      </w:r>
    </w:p>
    <w:p>
      <w:r>
        <w:t>Die Vorinstanz begründet ihren Entscheid damit, dass die Vorbringen des Beschwerdeführers nicht asylrelevant seien. Sie müssten vor dem damaligen Hintergrund der allgemein angespannten Lage im Bürgerkrieg betrachtet werden. Nach dem Waffenstillstand, der im Jahre 2002 zustande gekommen sei, sei es im Sommer 2006 zu einem Wiederaufflammen des bewaffneten Konflikts zwischen der sri-lankischen Armee und den LTTE gekommen. Im Norden und im Osten des Landes habe besonders die Zivilbevölkerung unter den Auseinandersetzungen zu leiden gehabt. Tamilinnen und Tamilen seien von lokal bedingten Verfolgungsmassnahmen seitens der sri-lankischen Sicherheitskräfte und der mit jenen verbündeten bewaffneten Gruppen besonders betroffen gewesen. Nachdem der Krieg zwischen der sri-lankischen Regierung und den separatistischen LTTE im Mai 2009 mit deren Niederlage zu Ende gegangen sei, stelle sich die Situation jedoch anders dar. Auch wenn die Lage noch nicht in allen Landesteilen zufriedenstellend sei, habe sie sich doch erheblich verbessert. Auch die LTTE stellten nach der militärischen Niederlage für den Beschwerdeführer keine konkrete Bedrohung mehr dar. Zwar treffe zu, dass die sri-lankischen Behörden alles daran setzten, ein Wiedererstarken der LTTE zu verhindern, und sie deshalb gegen ehemalige Kämpfer und Führungspersönlichkeiten der LTTE vorgingen. Der Beschwerdeführer habe allerdings nicht geltend gemacht, je ein aktives oder gar führendes Mitglied der LTTE gewesen zu sein. Er habe sie lediglich von 2006 bis 2008 mit Nahrungsmitteln, Medikamenten und als Nachrichtenvermittler unterstützt. In seinen Schilderungen fänden sich keine Hinweise darauf, dass die sri-lankischen Behörden heute ein ernsthaftes Interesse daran haben könnten, gerade ihn zu verfolgen. Da er nur ein geringes politisches Profil habe, sei nicht davon auszugehen. dass er zum jetzigen Zeitpunkt von asylrelevanten Schwierigkeiten bedroht sei. Bezüglich der geltend gemachten Teilnahme an Demonstrationen führt das BFM an, die blosse Teilnahme an Demonstrationen vermöge nicht zu begründen, dass der Beschwerdeführer im Falle seiner Rückkehr in den Heimatstaat einer asylrelevanten Verfolgung ausgesetzt würde. Den Akten könne nicht entnommen werden, dass die sri-lankischen Behörden von diesen Tätigkeiten auch nur Kenntnis genommen oder gar gestützt darauf irgendwelche Massnahmen zu seinem Nachteil eingeleitet hätten. Allein in der Schweiz würden innert weniger Monate unzählige exilpolitische Anlässe durchgeführt, so dass es den sri-lankischen Behörden unmöglich sein dürfte, die Teilnehmer namentlich zu identifizieren. Darüber hinaus dürften sie nur dann Interesse an der Identifizierung von Personen haben, wenn deren Aktivitäten als konkrete Bedrohung für das politische System wahrgenommen würden. Erheblich und relevant für die Beurteilung als konkrete Bedrohung sei eine exilpolitische Tätigkeit nur dann, wenn der Betreffende nach aussen erkennbar, persönlich exponiert und virulent regimefeindlich aktiv werde oder wenn sich seine politischen Aktionen als Fortführung einer bereits im Heimatland betätigten festen Überzeugung darstellten und eine gewisse Intensität erreichten. Vorliegend sei dies auf Grund der Bescheidenheit der exilpolitischen Tätigkeit und in Anbetracht der seit dem Kriegsende veränderten Lage nicht der Fall.</w:t>
      </w:r>
    </w:p>
    <w:p>
      <w:r>
        <w:rPr>
          <w:b/>
        </w:rPr>
        <w:t>E. 6.5</w:t>
      </w:r>
    </w:p>
    <w:p>
      <w:r>
        <w:t>Was dagegen in der Beschwerde vorgebracht wird, ist nicht geeignet, eine Bundesrechtsverletzung darzutun. Insbesondere ändern die vom BFM in der Begründung nicht ausdrücklich erwähnten Vorbringen, die sich vor der Ausreise des Beschwerdeführers im Jahre 2002 ereignet haben sollen, oder die Ereignisse im Januar 2009, wie nachfolgend aufgezeigt, nichts an der Einschätzung, dass der Beschwerdeführer auf Grund seines geringen politischen Profils und der seit dem Ende des Bürgerkrieges veränderten Lage in Sri Lanka im Falle einer Rückkehr mit überwiegender Wahrscheinlichkeit keine ernsthaften Nachteile befürchten muss. Der Beschwerdeführer erfüllt keines der in BVGE 2011/24 dargelegten Risikoprofile ([1.] der politischen Opposition verdächtigte Personen, [2.] kritisch auftretende Journalisten und Medienschaffende, Menschenrechtsaktivisten und regimekritische NGO-Vertreter, [3.] Personen, die Opfer oder Zeugen schwerer Menschenrechtsverstösse wurden oder diesbezüglich juristische Schritte eingeleitet haben, [4.] Rückkehrer aus der Schweiz, denen nahe Kontakte zu den LTTE unterstellt werden beziehungsweise [5.] die über beträchtliche finanzielle Mittel verfügen). Namentlich gehört er entgegen seiner Auffassung weder der ersten noch der vierten Gruppe an. Betreffend die erste Risikogruppe ist festzustellen, dass die vom Beschwerdeführer für die LTTE durchgeführte Versorgung mit Nahrungsmitteln und Medikamenten, die Übermittlung von Nachrichten und die Ausreisehilfe zweier flüchtiger politischer Gefangener nicht darauf schliessen lassen, er sei ein aktives oder gar führendes Mitglied der LTTE gewesen, welches heute noch einer erhöhten Verfolgungsgefahr unterliegt. In erhöhtem Masse gilt dies in Bezug auf die Vorfälle, die sich vor 2002 ereignet haben sollen, da der Beschwerdeführer von 2006 bis zum Januar 2009 unbehelligt an seinem früheren Wohnort gelebt hat. Das Gericht kommt zum Schluss, dass er trotz seiner angeblichen Fluchthilfe im Januar 2009 entgegen seiner Auffassung bereits zu jenem Zeitpunkt nicht ernsthaft gesucht worden sein kann, hat ihn doch das Militär offenbar weder bei seiner Ehefrau gesucht noch sich darum bemüht, seinen Arbeitsort ausfindig zu machen. Zum vierten Risikoprofil ist festzuhalten, dass der Beschwerdeführer allein aus der Tatsache, dass sich ehemalige Kader der LTTE in der Schweiz aufhalten und Verwandte des Beschwerdeführers bei diesen engagiert waren, nichts zu seinen Gunsten abzuleiten vermag. Sodann ist aufgrund seiner Tätigkeit nicht davon auszugehen, dass ihm während seines Aufenthalts in der Schweiz nahe Kontakte zu LTTE-Kadern im Sinne von BVGE 2011/24 unterstellt werden können. Sein - im Übrigen unsubstanziiertes und unbelegtes - exilpolitisches Engagement genügt, auch wenn es über die blosse Teilnahme an mehreren Demonstrationen hinausgeht, nicht, um auf entsprechende Kontakte und das Vorliegen subjektiver Nachfluchtgründe zu schliessen. Abgesehen von den behandelten Rügen erschöpft sich die Beschwerdeschrift in einer blossen Wiederholung der vorinstanzlichen Asylvorbringen oder allgemeinen Ausführungen zur Lage in Sri Lanka. Es erübrigt sich, darauf näher einzugehen, da sie an der Würdigung des vorliegenden Sachverhalts nichts zu ändern vermögen. Dies gilt ebenso für die Vielzahl im Rahmen des Beschwerdeverfahrens eingereichter Berichte, die sich entweder mit der allgemeinen Situation in Sri Lanka oder mit einzelnen Fällen von Menschenrechtsverletzungen befassen, den Beschwerdeführer und dessen individuelle Asylvorbringen indessen nicht persönlich betreffen. Ihnen lässt sich keine wesentlich andere Beurteilung der Lage in Sri Lanka entnehmen. Der Beschwerdeführer vermag damit eine Verletzung von Bundesrecht nicht darzutun. Die Vorinstanz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wobei der Vollzug dann zumutbar ist, wenn begünstigende Faktoren vorliegen.</w:t>
      </w:r>
    </w:p>
    <w:p>
      <w:r>
        <w:rPr>
          <w:b/>
        </w:rPr>
        <w:t>E. 8.5</w:t>
      </w:r>
    </w:p>
    <w:p>
      <w:r>
        <w:t>Der Beschwerdeführer stammt aus D._______ (District Jaffna, Nordprovinz) und damit nicht aus dem Vanni-Gebiet. Der Vollzug der Wegweisung dorthin ist daher grundsätzlich zumutbar. Sodann sind den Akten keine Anhaltspunkte zu entnehmen, wonach dem Beschwerdeführer aus individuellen Gründen eine Rückkehr in den Heimatstaat nicht zumutbar sein soll. Er wohnte den grössten Teil seins Lebens zusammen mit seiner Familie in D._______. Demnach ist er mit seinem Land und der dortigen Tradition tief verwurzelt. Gemäss Befragungsprotokoll leben seine (...) sowie seine (...) nach wie vor in seinem Heimatland (A1/11 S. 3). Auch wenn (...), wie er auf Beschwerdeebene geltend macht, das Land inzwischen verlassen und er (...) seit vielen Jahren keinen Kontakt mehr haben sollte, verfügt er dennoch in seinem Heimatstaat über ein tragfähiges soziales Beziehungsnetz. Zwar hat der Beschwerdeführer keine Berufsausbildung. Indes verfügt er über mehrere Jahre Arbeitserfahrung als (...) und als (...). Unter diesen Umständen ist anzunehmen, dass er sich bei einer Rückkehr sozial und beruflich wieder integrieren und eine neue Existenz aufbauen kann. Was die geltend gemachten gesundheitlichen Probleme des Beschwerdeführers betrifft, so hat er nicht substanziiert dargelegt, inwiefern diese ein Vollzugshindernis begründen sollen; insbesondere sind die in Aussicht gestellten ärztlichen Zeugnisse bislang nicht eingereicht worden.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(Art. 8 Abs. 4 AsylG und dazu auch BVGE 2008/34 E. 12 S. 513-515),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eingetreten werden kann.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