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E-2407/2021 vom 1. Juni 2021</w:t>
      </w:r>
    </w:p>
    <w:p>
      <w:r>
        <w:t>Bundesverwaltungsgericht, 2021-06-01, DE</w:t>
      </w:r>
    </w:p>
    <w:p>
      <w:r>
        <w:rPr>
          <w:b/>
        </w:rPr>
        <w:t xml:space="preserve">Quelle: </w:t>
      </w:r>
      <w:r>
        <w:t>https://mcp.opencaselaw.ch/entscheid/bvger_E-2407_2021</w:t>
      </w:r>
    </w:p>
    <w:p>
      <w:r>
        <w:t>FR: TAF E-2407/2021 du 1 juin 2021</w:t>
      </w:r>
    </w:p>
    <w:p>
      <w:r>
        <w:t>IT: TAF E-2407/2021 del 1 giugno 2021</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vorbehältlich nachfolgender Erwägungen - einzutreten (Art. 108 Abs. 3 AsylG und Art. 52 Abs. 1 VwVG).</w:t>
      </w:r>
    </w:p>
    <w:p>
      <w:r>
        <w:rPr>
          <w:b/>
        </w:rPr>
        <w:t>E. 2</w:t>
      </w:r>
    </w:p>
    <w:p>
      <w:r>
        <w:t>Die Vorinstanz hat die Eingabe des Beschwerdeführers vom 21. Mai 2021 als weiteres Asylgesuch (Mehrfachgesuch) entgegengenommen. Der Beschwerde kommt deshalb von Gesetzes wegen aufschiebende Wirkung zu (Art. 55 Abs. 1 VwVG). Auf das Gesuch um Aussetzung des Vollzugs ist daher mangels Rechtsschutzinteresses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Bei Beschwerden gegen Nichteintretensentscheide, mit denen es das SEM ablehnt, ein Gesuch materiell zu prüfen, ist die Beurteilungskompetenz der Beschwerdeinstanz grundsätzlich auf die Frage beschränkt, ob die Vor-instanz zu Recht auf das Gesuch nicht eingetreten ist (vgl. BVGE 2011/19 E. 5). Die Beschwerdeinstanz enthält sich demnach - sofern sie den Nichteintretensentscheid als unrechtmässig erachtet - einer selbständigen materiellen Prüfung, hebt die angefochtene Verfügung auf und weist die Sache zu neuer Entscheidung an die Vorinstanz zurück (vgl. BVGE 2014/30 E. 3 m.w.H.). Auf das Eventualbegehren, es sei die Flüchtlingseigenschaft des Beschwerdeführers festzustellen sowie ihm in der Schweiz Asyl zu gewähren, ist somit nicht einzutreten. Die Fragen der Wegweisung und des Vollzugs prüft die Vorinstanz materiell, weshalb dem Bundesverwaltungsgericht diesbezüglich volle Kognition zukommt.</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6.1</w:t>
      </w:r>
    </w:p>
    <w:p>
      <w:r>
        <w:t>In der Beschwerde werden formelle Rügen erhoben, die vorab zu beurteilen sind, da diese bei berechtigtem Vorbringen zur Kassation der angefochtenen Verfügung führen können.</w:t>
      </w:r>
    </w:p>
    <w:p>
      <w:r>
        <w:rPr>
          <w:b/>
        </w:rPr>
        <w:t>E. 6.2</w:t>
      </w:r>
    </w:p>
    <w:p>
      <w:r>
        <w:t>Der Beschwerdeführer rügt eine Verletzung des Anspruchs auf rechtliches Gehör gemäss Art. 29 VwVG. Die Vorinstanz habe die Gefährdungslage nicht unter Würdigung aller Vorbringen und Beweismittel geprüft und sich nicht mit sämtlichen Vorbringen auseinandergesetzt, namentlich habe sie die längerfristigen Folgen der Machtübernahme durch den Rajapaksa-Clan sowie der Parlamentswahl nicht berücksichtigt. Im Weiteren fehle eine konkrete Beurteilung des Falles anhand der durch das Bundesverwaltungsgericht vorgegebenen Risikofaktoren mit dem Referenzurteil vollständig. Diesbezüglich habe die Vorinstanz ebenfalls das rechtliche Gehör verletzt. Daneben habe die Vorinstanz den rechtserheblichen Sachverhalt unvollständig festgestellt, mithin Art. 12 VwVG verletzt, indem sie sich nicht mit sämtlichen Vorbringen auseinandergesetzt habe und auf das Mehrfachgesuch nicht eingetreten sei.</w:t>
      </w:r>
    </w:p>
    <w:p>
      <w:r>
        <w:rPr>
          <w:b/>
        </w:rPr>
        <w:t>E. 6.3</w:t>
      </w:r>
    </w:p>
    <w:p>
      <w:r>
        <w:t>Der Beschwerdeführer vermengt vorliegend den Anspruch auf rechtliches Gehör gemäss Art. 29 VwVG und den Untersuchungsgrundsatz nach Art. 12 VwVG mit der rechtlichen Würdigung der Vorbringen. Er verkennt zudem, dass die Vorinstanz vorliegend keine materielle Prüfung der Vorbringen vorgenommen hat, weil sie wegen fehlender substantiierter Begründung auf das Mehrfachgesuch nicht eingetreten ist. Die Vorinstanz hat in der angefochtenen Verfügung den Sachverhalt vollständig erhoben und rechtsgenüglich ausgeführt, weshalb sie die neuen Vorbringen als nicht ausreichend individualisiert und insoweit nicht hinreichend begründet beurteilt hat. Die Rügen sind unbegründet.</w:t>
      </w:r>
    </w:p>
    <w:p>
      <w:r>
        <w:rPr>
          <w:b/>
        </w:rPr>
        <w:t>E. 7.1</w:t>
      </w:r>
    </w:p>
    <w:p>
      <w:r>
        <w:t>Die Vorinstanz begründet ihren Entscheid damit, soweit der Beschwerdeführer an seinen im ersten Asylgesuch geltend gemachten Asylgründen festhalte, werde auf das rechtskräftige Urteil des BVGer E-6740/2019 verwiesen, in welchem seine Vorbringen als unglaubhaft befunden, ein Risikoprofil verneint und sein Asylgesuch abgewiesen worden sei. Es gebe keinen Anlass zur Annahme, dass ganze Volksgruppen unter Präsident Gotabaya Rajapaksa kollektiv einer Verfolgungsgefahr ausgesetzt seien. Das Verfolgungsrisiko werde im Einzelfall geprüft. Voraussetzung für die Annahme einer Verfolgungsgefahr aufgrund der Präsidentschaftswahlen vom 16. November 2019 sei ein persönlicher Bezug der asylsuchenden Person zu eben diesem Ereignis respektive dessen Folgen. Dafür reiche es nicht aus, pauschal auf politische Entwicklungen der jüngeren Vergangenheit oder mögliche Zukunftsszenarien zu verweisen und dazu allgemeine Beweismittel einzureichen. Stattdessen sei eine hinreichende Subsumption im Einzelfall notwendig. Eine solche sei vorliegend nicht überzeugend dargetan worden. Da zwischen dem Beschwerdeführer und den jüngsten Entwicklungen in Sri Lanka kein hinreichender Bezug bestehe, sei dieses Vorbringen im Sinne von Art. 111c Abs. 1 AsylG i.V.m. Art. 13 Abs. 2 VwVG nicht gehörig begründet. Auf das Mehrfachgesuch sei folglich nicht einzutreten.</w:t>
      </w:r>
    </w:p>
    <w:p>
      <w:r>
        <w:rPr>
          <w:b/>
        </w:rPr>
        <w:t>E. 7.2</w:t>
      </w:r>
    </w:p>
    <w:p>
      <w:r>
        <w:t>In der Rechtsmitteleingabe beschränkt sich der Beschwerdeführer im Wesentlichen darauf, den aktenkundigen Sachverhalt zu wiederholen, erneut die allgemeine Lage in Sri Lanka ohne individualisierten Bezug zu ihm aufzuführen und ohne weitere Begründung darauf zu beharren, das Mehrfachgesuch sei ausreichend begründet worden. Damit legt er indes nicht dar, inwiefern die Vorinstanz zu Unrecht von einem unzureichend begründeten Mehrfachgesuch ausgegangen und insoweit zu Unrecht auf das Gesuch nicht eingetreten ist. Die Vorinstanz hat zutreffend festgestellt, der Beschwerdeführer habe in seiner Eingabe vom 21. Mai 2021 in Bezug auf die aktuelle Lageentwicklung in Sri Lanka im Nachgang zu den Präsidentschaftswahlen im Herbst 2019 keine konkrete ihn betreffende Gefährdungssituation dargetan. Gemäss Rechtsprechung gelten im Rahmen von Mehrfachgesuchen erhöhte Formerfordernisse (vgl. BVGE 2014/39 E. 4.3). Mit dem Mehrfachgesuch vom 21. Mai 2021 ist der Beschwerdeführer diesen - wie vorstehend dargelegt - nicht nachgekommen. Die Vor-instanz ist somit zu Recht auf das Mehrfachgesuch mangels gehöriger Begründung der neuen Asylvorbringen in Anwendung von Art. 111c AsylG Abs. 1 i.V.m. Art. 13 Abs. 2 VwVG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9.2.2</w:t>
      </w:r>
    </w:p>
    <w:p>
      <w:r>
        <w:t>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w:t>
      </w:r>
    </w:p>
    <w:p>
      <w:r>
        <w:rPr>
          <w:b/>
        </w:rPr>
        <w:t>E. 9.2.3</w:t>
      </w:r>
    </w:p>
    <w:p>
      <w:r>
        <w:t>Der Vollzug ist schliesslich nicht möglich, wenn die Ausländerin oder der Ausländer weder in den Heimat- oder in den Herkunftsstaat noch in einen Drittstaat ausreisen oder dorthin gebracht werden kann (Art. 83 Abs. 2 AlG).</w:t>
      </w:r>
    </w:p>
    <w:p>
      <w:r>
        <w:rPr>
          <w:b/>
        </w:rPr>
        <w:t>E. 9.3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nach wie vor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Was die Zumutbarkeit des Vollzugs betrifft, so ist mit der Vorinstanz auf die Ausführungen im Urteil des BundesverwaltungsgerichtsE-6740/2019 vom 19. August 2020 zu verweisen. In diesem rechtskräftig abgeschlossenen Verfahren hat sich das Gericht bereits mit der Frage der Zumutbarkeit auseinandergesetzt und diese bejaht (E. 8.6). Auf Beschwerdeebene macht der Beschwerdeführer nichts geltend, das eine andere Betrachtungsweise aufdrängen würde. Auch die verschärften ethnischen und religiösen Spannungen während des jüngsten Wahlkampfes und des Regierungswechsels vom November 2019 sowie die aktuelle Situation in Sri Lanka ändern nichts an dieser Beurteilung. Der Vollzug der Wegweisung erweist sich nach wie vor als zumutbar.</w:t>
      </w:r>
    </w:p>
    <w:p>
      <w:r>
        <w:rPr>
          <w:b/>
        </w:rPr>
        <w:t>E. 9.5</w:t>
      </w:r>
    </w:p>
    <w:p>
      <w:r>
        <w:t>Ferner obliegt es dem Beschwerdeführer, sich bei der zuständigen Vertretung des Heimatstaates die für eine Rückkehr notwendigen Reisedokumente zu beschaffen (vgl. Art. 8 Abs. 4 AsylG und dazu auch BVGE 2008/34 E. 12), weshalb der Vollzug der Wegweisung nach wie vor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Das Gesuch um unentgeltliche Rechtpflege ist abzuweisen, da die Begehren, wie sich aus den vorstehenden Erwägungen ergibt, als aussichtslos zu bezeichnen sind. Die Voraussetzungen von Art. 65 Abs. 1 VwVG sind somit - ungeachtet der geltend gemachten Bedürftigkeit - nicht erfüllt.</w:t>
      </w:r>
    </w:p>
    <w:p>
      <w:r>
        <w:rPr>
          <w:b/>
        </w:rPr>
        <w:t>E. 12</w:t>
      </w:r>
    </w:p>
    <w:p>
      <w:r>
        <w:t>Bei diesem Ausgang des Verfahrens sind die Kosten dem Beschwerdeführer aufzuerlegen (Art. 63 Abs. 1 VwVG) und praxisgemäss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