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E-2405/2011 vom 4. Oktober 2011</w:t>
      </w:r>
    </w:p>
    <w:p>
      <w:r>
        <w:t>Bundesverwaltungsgericht, 2011-10-04, DE</w:t>
      </w:r>
    </w:p>
    <w:p>
      <w:r>
        <w:rPr>
          <w:b/>
        </w:rPr>
        <w:t xml:space="preserve">Quelle: </w:t>
      </w:r>
      <w:r>
        <w:t>https://mcp.opencaselaw.ch/entscheid/bvger_E-2405_2011</w:t>
      </w:r>
    </w:p>
    <w:p>
      <w:r>
        <w:t>FR: TAF E-2405/2011 du 4 octobre 2011</w:t>
      </w:r>
    </w:p>
    <w:p>
      <w:r>
        <w:t>IT: TAF E-2405/2011 del 4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Eine solche Ausnahme im Sinne von Art. 83 Bst. d Ziff. 1 BGG ist vorliegend nicht gegeben,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aus, die letztmals am 3 Mai 2005 eingereichten Asylgesuche seien aufgrund der Unglaubhaftigkeit der Aussagen abgelehnt worden. Auch die neuen Vorbringen der Beschwerdeführerin, welche im Zusammenhang mit den bereits im ersten Asylgesuch erwähnten stehen würden, seien unsubstanziiert und oberflächlich. Die Beschwerdeführerin sei weder in der Lage, genaue Daten betreffend ihre Probleme zu nennen, noch genauere Angaben zu ihren verschiedenen Aufenthaltsorten zu machen, wo sie sich nach der Rückkehr aufgehalten habe. Substanzlos seien auch die Ausführungen zu den Drohungen und ausweichend die Antworten in Bezug auf die unternommenen Schritte bei der Polizei. Der Beschwerdeführer stelle seine Probleme in einen Zusammenhang mit den im ersten Asylverfahren geltend gemachten. Seit 2007 sei er 20 bis 30 Mal telefonisch von Tschetniks bedroht und schliesslich im Januar 2008 tätlich angegriffen worden. Auch die neuen Vorbringen seien bezüglich die Tschetniks unsubstanziiert und vage ausgefallen. Er habe zu Protokoll gegeben, erst von der Polizei erfahren zu haben, dass es sich bei seinen Verfolgern um Tschetniks handeln würde, habe jedoch nicht darlegen können, woher die Polizei dies gewusst habe. Auch betreffend Anzahl seiner Anzeigen habe er keine Antwort geben können. Des Weiteren habe er weder seine Verfolger beschreiben noch weitergehende Angaben zu diesen machen können, er habe sich in vage Aussagen geflüchtet, indem er behauptet habe, alle Bosnier seien gleich beziehungsweise man könne sie im Internet anschauen (vgl. Akten BFM C10/13 S. 6 f.). Ferner seien die Aussagen der Beschwerdeführenden in wesentlichen Punkten widersprüchlich ausgefallen. So habe der Beschwerdeführer ausgeführt, nach Absprache mit seiner Frau aus dem Familienhaus geflüchtet zu sein, wogegen die Beschwerdeführerin das Gegenteil zu Protokoll gegeben habe (vgl. C10/13 S. 6, B7/10 S. 5). Schliesslich seien die ins Recht gelegten Dokumente nicht geeignet, ihre Vorbringen zu belegen. So handle es sich bei der Bestätigung der Universitätsklinik J._______ um ein medizinisches Zeugnis ohne Beweiswert, und auch die zu den Akten gereichte Bestätigung des Gemeindegerichts F._______ sei aufgrund deren Inhalts und der obigen Erwägungen als Gefälligkeitsschreiben zu qualifizieren.</w:t>
      </w:r>
    </w:p>
    <w:p>
      <w:r>
        <w:rPr>
          <w:b/>
        </w:rPr>
        <w:t>E. 4.2.1</w:t>
      </w:r>
    </w:p>
    <w:p>
      <w:r>
        <w:t>Die Beschwerdeführenden rügen in ihrer Eingabe, das BFM habe seine Begründungspflicht verletzt, indem es viel zu wenig auf den Sachverhalt eingegangen sei sowie die eingereichten Beweismittel in ihrem Entscheid nicht berücksichtigt habe. Zudem habe es den Sachverhalt nicht genügend abgeklärt. Die für das Verwaltungsverfahren in Art. 35 Abs. 1 VwVG statuierte Begründungspflicht ist Ausfluss des Grundsatzes des rechtlichen Gehörs (Art. 29 Abs. 2 der Bundesverfassung der Schweizerischen Eidgenossenschaft vom 18. April 1999, [BV, SR 101]). Die Behörden sind gemäss bundesgerichtlicher Rechtsprechung verpflichtet, die Vorbringen des Betroffenen tatsächlich zu hören (vgl. Art. 30 VwVG), sorgfältig und ernsthaft zu prüfen (vgl. Art. 32 Abs. 1 VwVG) und in der Entscheidfindung zu berücksichtigen. Sie gewährleistet den Verfügungsadressaten die Möglichkeit, wirksam Beschwerde zu führen, und verhindert, dass sich die Behörden von unsachgemässen Motiven leiten lassen (vgl. Lorenz Kneubühler in: Kommentar zum VwVG, Auer/ Müller/Schindler [Hrsg.], Zürich 2008, N. 4 zu Art. 35 Abs. 1 VwVG). Der Untersuchungsgrundsatz gehört sodann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die weiterhin zutreffende Praxis der ARK in Entscheidungen und Mitteilungen der Schweizerischen Asylrekurskommission [EMARK] 2003 Nr. 13 E. 4c S. 83 f., mit weiteren Hinweisen). Das Bundesverwaltungsgericht kommt zum Schluss, dass die vorinstanzliche Begründung zwar nicht besonders ausführlich ausgefallen ist, eine Verletzung der Begründungspflicht darin jedoch nicht zu erblicken ist. So hat die Vorinstanz in ihrer Verfügung die Gründe aufgeführt, welche sie zum Schluss der fehlenden Glaubhaftigkeit der Vorbringen kommen liessen (vgl. angefochtene Verfügung S. 3 f.). Zudem hat sie sich auch mit den eingereichten Beweismitteln - wenn auch nur kurz - auseinandergesetzt. Den Beschwerdeführenden war es darüber hinaus auch möglich, ausführlich zu den vorinstanzlichen Erwägungen Stellung zu nehmen und diese gezielt anzufechten, mithin ihre Partei- und Verfahrensrechte wahrzunehmen. Das BFM sah sich zu Recht nicht veranlasst, weitere Abklärungen vorzunehmen. Nach dem Gesagten besteht keine Veranlassung, die vorinstanzliche Verfügung vom 24. März 2011 aus formellen Gründen aufzuheben und das BFM anzuweisen, eine Botschaftsabklärung durchzuführen.</w:t>
      </w:r>
    </w:p>
    <w:p>
      <w:r>
        <w:rPr>
          <w:b/>
        </w:rPr>
        <w:t>E. 4.3</w:t>
      </w:r>
    </w:p>
    <w:p>
      <w:r>
        <w:t>Es bleibt im Folgenden zu prüfen, ob die vorgetragenen Fluchtumstände, die zum erneuten Entschluss ihrer Ausreise aus dem Heimatstaat geführt haben sollen, gesamthaft als glaubhaft gemacht zu erachten sind.</w:t>
      </w:r>
    </w:p>
    <w:p>
      <w:r>
        <w:rPr>
          <w:b/>
        </w:rPr>
        <w:t>E. 4.3.1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S. 190 f., mit weiteren Hinweisen).</w:t>
      </w:r>
    </w:p>
    <w:p>
      <w:r>
        <w:rPr>
          <w:b/>
        </w:rPr>
        <w:t>E. 4.3.2</w:t>
      </w:r>
    </w:p>
    <w:p>
      <w:r>
        <w:t>Vorab ist festzuhalten, dass die von den Beschwerdeführenden im zweiten Asylverfahren vorgebrachten Gründe für das Verlassen ihres Heimatstaates auf denselben Problemen basieren sollen, welche sie bereits anlässlich ihrer ersten Asylgesuche vom 3. Mai 2005 angeführt haben. Mit rechtskräftigem Urteil vom 4. Mai 2006 hat die ehemalige ARK die Flüchtlingseigenschaft der Beschwerdeführenden aufgrund der Unglaubhaftigkeit ihrer Vorbringen verneint und die Gewährung von Asyl entsprechend verweigert. Infolge der materiellen Rechtskraft des genannten Urteils können diese Vorbringen grundsätzlich nicht Gegenstand einer erneuten Beurteilung im Rahmen des vorliegenden Verfahrens bilden (res iudicata; Fritz Gygi, Bundesverwaltungsrechtspflege, 2. Aufl., Bern 1983, S. 322 f.; Alfred Kölz/ Isabelle Häner, Verwaltungsverfahren und Verwaltungsrechtspflege des Bundes, 2. Aufl., Zürich 1998, Rz. 715), weshalb vorab vollumfänglich auf die entsprechenden Erwägungen des BFM und auf die zutreffenden Ausführungen im Urteil der ARK vom 4. Mai 2006 verwiesen werden kann. Was die geltend gemachten Verfolgungsgründe nach der Rückkehr nach Bosnien und Herzegowina anbelangt, ist der Vorinstanz beizupflichten, dass diese oberflächlich, vage, widersprüchlich und damit unglaubhaft ausgefallen sind. Die Entgegnungen in der Beschwerde vermögen daran nichts zu ändern. So fielen die Antworten der Beschwerdeführerin auch auf Nachfragen hin fast durchwegs kurz und wenig differenziert aus. Von einer asylsuchenden Person kann aber erwartet werden, dass sie imstande ist, ihre konkret erlebten Verfolgungsgründe in zeitlich kohärenter und substanziierter Weise darzulegen. Diesem Anspruch genügen die Vorbringen der Beschwerdeführenden jedenfalls nicht. Auch wenn es beispielsweise in F._______ keine Strassennamen und Adressen geben sollte, wie die Beschwerdeführerin behauptet, ist wenig nachvollziehbar, dass sie zwar die genaue Anzahl der Häuser, in denen sie gewohnt habe, angeben konnte (nämlich 15), darüber hinaus jedoch vage blieb und lediglich anführte, bei Freunden und der Familie gewohnt zu haben, diese jedoch nicht einzeln benannte. In diesem Zusammenhang fällt zudem auf, dass der Beschwerdeführer seinerseits das Quartier F._______ als letzte offizielle Anschrift angab und nach dem Ort des Überfalls (im Januar 2008) gefragt, zu Protokoll gab, er wisse nicht, wie die Strasse heisse (vgl. C1/14 S. 2 und 8), was darauf hindeutet, dass entgegen der Angabe der Beschwerdeführerin Strassennamen oder mindestens Quartiere existieren. Sodann fielen auch die Aussagen zu den angeblichen Drohungen wenig substanziiert und untereinander nicht stimmig aus, gab die Beschwerdeführerin auf entsprechende Frage doch zuerst an, sie sei telefonisch und über Familienmitglieder von Serben bedroht worden, ein unbekannter Serbe habe die Drohung an ihre Familie gerichtet, welche diese an sie weitergeleitet habe, anfangs 2007 sei sie zum ersten Mal telefonisch bedroht worden. Kurz darauf aber machte sie geltend, das letzte Mal sei sie 15 Tage später persönlich in einem Laden bedroht worden (vgl. B7/10 S. 4 f.). Des Weiteren gab sie zu Protokoll, ihr Mann sei im Jahre 2007 fast zu Tode geschlagen worden (vgl. B7/10 S. 3). Der Beschwerdeführer seinerseits gab demgegenüber zu Protokoll, die erste Drohung habe er im Frühling 2007 erhalten, danach sei er 20 bis 30 Mal telefonisch bedroht worden, das letzte Mal, im Januar 2008, sei er von Tschetniks angegriffen worden, wobei er eine Gehirnerschütterung erlitten habe und sich für zehn Tage im Spital habe behandeln lassen müssen. Von Drohungen von Serben, die er durch Familienmitglieder erhalten habe, sprach er indes nicht, und auch die Bedrohung seiner Frau im Geschäft erwähnte er nicht. Was die Personen anbelangt, welche die Drohungen ausgesprochen hätten, äusserte er sich sodann insofern widersprüchlich, als er zuerst ausführte, die Leute hätten sich als Zugehörige der Ravnogorski Pokret vorgestellt, als sie ihn überfielen respektive als sie ihn bedrohten (vgl. C10/13 F55 f.), kurz darauf aber im Widerspruch dazu angab, die Polizei habe ihm gesagt, diese Leute seien von der Organisation (vgl. C10/13 F60). Die mit Fax-Eingabe vom 25. Mai 2010 zu den Akten gereichte Bestätigung des Gemeindegerichts F._______, welches seine Aussagen betreffend seine zahlreichen Meldungen bekräftigen sollte, entspricht sodann nicht der Charakterisierung polizeilicher Anzeigen. Die geltend gemachten Übergriffe müss(t)en - wenn überhaupt - grundsätzlich der zuständigen lokalen Polizei gemeldet werden, welche dann zumindest bestätigt, ob eine Meldung erfolgt ist. Ein Gericht hingegen "bestätigt" keinesfalls, dass die "Polizei(verwaltung) weder zuständig noch in der Lage ist", die Beschwerdeführenden zu schützen, zumal es gegebenenfalls erst nach erfolgten polizeilichen Ermittlungen tätig werden kann. Das BFM erachtete dieses Dokument somit zu Recht als Gefälligkeitsschreiben, durch welches die Aussagen der Beschwerdeführenden nicht glaubhaft werden. Dasselbe ist auch in Bezug auf die Bestätigung des Universitätsspitals J._______ vom 21. Mai 2010 festzuhalten. Daraus geht einzig hervor, dass der Patient vom 11. Januar 2008 bis am 18. Januar 2008 mit schweren Körperverletzungen hospitalisiert gewesen sei, was im Übrigen nicht mit der Aussage des Beschwerdeführers übereinstimmt, wonach er zehn Tage in Spitalpflege gewesen sei. Der Grund der Hospitalisierung ist daraus indes nicht ersichtlich. Es gelingt mit diesem Dokument mithin nicht, eine asylrelevante Verfolgung darzutun. Insgesamt ist festzuhalten, dass aufgrund der vorliegenden Akten der Eindruck entsteht, die Beschwerdeführenden hätten bei ihren Schilderungen nicht auf Erinnerungen an tatsächliche Begebenheiten zurückgreifen können. Somit gelingt es den Beschwerdeführenden nicht, die Erwägungen der Vorinstanz, auf die hier im Übrigen verwiesen werden kann, zu entkräften.</w:t>
      </w:r>
    </w:p>
    <w:p>
      <w:r>
        <w:rPr>
          <w:b/>
        </w:rPr>
        <w:t>E. 4.4</w:t>
      </w:r>
    </w:p>
    <w:p>
      <w:r>
        <w:t>Nach Durchsicht sämtlicher Akten und aufgrund der vorstehenden Erwägungen erübrigt es sich, auf die weiteren Ausführungen in der Beschwerde einzugehen. In Übereinstimmung mit dem BFM ist festzustellen, dass die Vorbringen der Beschwerdeführenden den Anforderungen an die Glaubhaftigkeit gemäss Art. 7 AsylG nicht standhalten. Das Bundesamt hat die Asylgesuche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Beschwerdeführerenden nach Bosnien und Herzegowina ist demnach unter dem Aspekt von Art. 5 AsylG rechtmässig. Sodann ergeben sich weder aus den Aussagen der Beschwerdeführerenden noch aus den Akten Anhaltspunkte dafür, dass sie für den Fall einer Ausschaffung in ihr Heimatland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Aufgrund der Akten sowie der vorstehenden Erwägungen im Asylpunkt ist indessen nicht davon auszugehen, dass ihnen im Falle einer Rückschiebung in ihr Heimatland eine derartige Gefahr droht. Die allgemeine Menschenrechtssituation in Bosnien und Herzegowina lässt den Wegweisungsvollzug im heutigen Zeitpunkt ebenfalls nicht als unzulässig erscheinen.</w:t>
      </w:r>
    </w:p>
    <w:p>
      <w:r>
        <w:rPr>
          <w:b/>
        </w:rPr>
        <w:t>E. 6.3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Nach Einschätzung des Bundesverwaltungsgerichts ist zum heutigen Zeitpunkt nicht von einer allgemeinen Situation der Gewalt oder von kriegerischen oder bürgerkriegsähnlichen Verhältnissen in Bosnien und Herzegowina auszugehen, welche für die Beschwerdeführenden bei einer Rückkehr eine konkrete Gefährdung darstellen würden. Seit dem Abschluss des Friedensabkommens von Dayton am 14. Dezember 1995 hat sich die allgemeine Lage in Bosnien und Herzegowina kontinuierlich normalisiert und stabilisiert. Die Beibehaltung dieser Entwicklung bestätigte sich auch nach den Wahlen vom 5. Oktober 2002. Die Sicherheitslage in Bosnien und Herzegowina hat sich in den letzten Jahren wesentlich verbessert, obgleich das Verhältnis der verschiedenen Ethnien zueinander weiterhin von Spannungen geprägt und die wirtschaftliche Lage schwierig ist. Auf Grund der angelaufenen politischen und juristischen Reformen und der langsamen, aber stetigen Verbesserung der Rückkehrbedingungen erklärte der Schweizer Bundesrat Bosnien und Herzegowina mit Beschluss vom 25. Juni 2003 zum so genannten verfolgungssicheren Herkunftsstaat. In Anbetracht dessen erachtet das Bundesverwaltungsgericht einen Wegweisungsvollzug für die Beschwerdeführenden als zumutbar, was die politische und wirtschaftliche Lage anbelangt. Zu prüfen bleibt, ob persönliche Gründe der Beschwerdeführerenden den Wegweisungsvollzug als nicht zumutbar erscheinen lassen.</w:t>
      </w:r>
    </w:p>
    <w:p>
      <w:r>
        <w:rPr>
          <w:b/>
        </w:rPr>
        <w:t>E. 6.3.2</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Allein aus dem Umstand, dass der medizinische Standard in der Schweiz höher ist als im Heimat- respektive Herkunftsland, kann nicht bereits auf Unzumutbarkeit des Wegweisungsvollzugs geschlossen werden (vgl. EMARK 2003 Nr. 24).</w:t>
      </w:r>
    </w:p>
    <w:p>
      <w:r>
        <w:rPr>
          <w:b/>
        </w:rPr>
        <w:t>E. 6.3.3</w:t>
      </w:r>
    </w:p>
    <w:p>
      <w:r>
        <w:t>Dem im erstinstanzlichen Verfahren eingereichten Arztzeugnis von Dr. med. (...), vom 22. Juni 2010 zufolge, steht die Beschwerdeführerin seit dem 19. Februar 2010 in Behandlung. Die behandelnde Ärztin diagnostizierte eine Tendenz zu depressiver Verstimmung und Ängsten mit vegetativen Beschwerden bei Problemen in Verbindung mit der sozialen Umgebung (ICD-10 Z60), Zielscheibe fremder Diskriminierung und Verfolgung (ICD-10 Z60.5), chronische (...) zervikal sowie eine (...) bedingt durch verstärkten Androgeneinfluss) und verordnete ihr Antidepressiva mit stützenden Gesprächen sowie eine Topische Therapie gegen (...). Gemäss Arztbericht ist ohne Behandlung mit einer spontanen Besserung nicht zu rechnen, mit einer Behandlung ist - unter Berücksichtigung, dass die soziale Ursache ihrer Beschwerden ausserhalb der medizinisch-therapeutischen Einflussmöglichkeiten liegen würde - eine gewisse Besserung des Beschwerdebildes zu erwarten. Im Beschwerdeverfahren wurde kein weiteres Arztzeugnis zu den Akten gereicht.</w:t>
      </w:r>
    </w:p>
    <w:p>
      <w:r>
        <w:rPr>
          <w:b/>
        </w:rPr>
        <w:t>E. 6.3.4</w:t>
      </w:r>
    </w:p>
    <w:p>
      <w:r>
        <w:t>Aus dem eingereichten ärztlichen Bericht von Dr. med. M._______ vom 14. April 2011 ergibt sich, dass der Beschwerdeführer seinerseits seit dem 13. Dezember 2010 wegen einer PTBS in ambulanter psychiatrischer und psychotherapeutischer Behandlung steht. Aus dem Bericht geht hervor, dass er aufgrund seiner einschneidenden Erlebnisse während der Kriegszeit in Bosnien an (...) leidet und medikamentös mit Antidepressiva versorgt wird, was zu keiner Besserung seines psychischen Zustandes geführt hat, zumal ihn die Ungewissheit seines Verbleibs in der Schweiz sehr beschäftige. Trotz dieses Krankheitsbildes wird jedoch eine Suizidalität glaubhaft verneint. Gemäss Arztbericht ist eine Besserung des psychischen Zustandes des Beschwerdeführers wegen der Ungewissheit seines Verbleibs in der Schweiz kaum zu erwarten.</w:t>
      </w:r>
    </w:p>
    <w:p>
      <w:r>
        <w:rPr>
          <w:b/>
        </w:rPr>
        <w:t>E. 6.3.5</w:t>
      </w:r>
    </w:p>
    <w:p>
      <w:r>
        <w:t>In Würdigung dieser Arztberichte gelangt das Bundesverwaltungsgericht zum Schluss, dass die attestierten gesundheitlichen Probleme der Beschwerdeführenden nicht in Frage gestellt werden, jedoch - entgegen ihrer Meinung - nicht dergestalt sind, dass die Behandlungen, welche zur Gewährung einer menschenwürdigen Existenz notwendig sind, nicht auch in Bosnien und Herzegowina erfolgen können. Insbesondere ist festzustellen, dass die gemäss den genannten Arztzeugnissen verordneten Medikationen und allenfalls andere oder ähnliche Medikamente respektive eine psychotherapeutische Behandlung im Heimatland verabreicht beziehungsweise erfolgen können. Beispielsweise verfügt das Spital von J._______, welches ungefähr (...) Kilometer von F._______ entfernt ist, sowohl über die notwendige medizinische Infrastruktur als auch über einen psychiatrischen Dienst. Zudem existieren in J._______ zwei Nichtregierungsorganisationen, (...) und (....), die psychosoziale und psychiatrische Hilfe für Frauen und Männer anbieten. Bei diesen beiden Organisationen ist grundsätzlich eine kostenfreie Behandlung möglich. Da die Zahl der Nachfragen nach einer Behandlung hoch sein kann, könnten die Beschwerdeführenden bereits von der Schweiz aus mit diesen Zentren in Kontakt treten, damit sie bei ihrer Ankunft in Bosnien-Herzegowina relativ schnell eine Therapie beginnen können; (...) verfügt über eine Kontaktstelle in der Schweiz. Zudem steht es den Beschwerdeführenden offen, medizinische Rückkehrhilfe im Sinne von Art. 93 Abs. 1 Bst. c AsylG zu beantragen.</w:t>
      </w:r>
    </w:p>
    <w:p>
      <w:r>
        <w:rPr>
          <w:b/>
        </w:rPr>
        <w:t>E. 6.3.6</w:t>
      </w:r>
    </w:p>
    <w:p>
      <w:r>
        <w:t>Die (...) Beschwerdeführerin und der (...) Beschwerdeführer lebten den grössten Teil ihres Lebens in Bosnien und Herzegowina. Während sich die Beschwerdeführerin um den Haushalt und das gemeinsame Kind sorgte, weist der Beschwerdeführer mit acht Jahren Grundschule, vier Jahren Berufsmittelschule und zwei Jahren Universitätsunterricht in Fachrichtung (...) eine gute Schulbildung aus. Zudem hat er mit seinem Beruf als (...) und während seines Aufenthalts in K._______ Berufserfahrung sammeln können (vgl. C2/1 S. 3). Es kann sodann davon ausgegangen werden, dass sie - nebst dem (...) der Beschwerdeführerin und anderen Familienangehörigen (vgl. B7/10 S. 4 Antwort 38) - in F._______ über ein verwandtschaftliches und soziales Beziehungsnetz verfügen. Hinzu kommt, dass nebst dem Beziehungsnetz in Bosnien und Herzegowina mehrere Familienangehörige in der Schweiz, in Frankreich und Dänemark leben (vgl. C1/14 S. 4; B4/8 S. 3), welche ihnen beim Aufbau einer neuen Existenzgrundlage im Heimatland falls notwendig finanziell zur Seite stehen können.</w:t>
      </w:r>
    </w:p>
    <w:p>
      <w:r>
        <w:rPr>
          <w:b/>
        </w:rPr>
        <w:t>E. 6.3.7</w:t>
      </w:r>
    </w:p>
    <w:p>
      <w:r>
        <w:t>Nach dem Gesagten erweist sich der Vollzug der Wegweisung nach Bosnien und Herzegowina nicht zuletzt auch unter Berücksichtigung des Kindeswohls (vgl. insbes. Art. 3 Abs. 1 des Übereinkommens vom 20. November 1989 über die Rechte des Kindes [SR 0.107]) als zumutbar.</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von Fr. 600.- den Beschwerdeführenden aufzuerlegen (Art. 63 Abs. 1 und 5 VwVG). Nachdem die Beschwerde indessen nicht als aussichtslos bezeichnet werden konnte und zudem von der Bedürftigkeit der Beschwerdeführenden auszugehen ist (gemäss Datenbank des "Zentralen Migrationsinformationssystems" des BFM [ZEMIS], vgl. ZEMIS-Verordnung vom 12. April 2006 [SR 142.513], sind die Beschwerdeführenden nicht erwerbstätig), ist in Gutheissung des mit der Beschwerde gestellten Gesuchs um Gewährung der unentgeltlichen Rechtspflege gemäss Art. 65 Abs. 1 VwVG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