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E-2400/2016 vom 26. April 2016</w:t>
      </w:r>
    </w:p>
    <w:p>
      <w:r>
        <w:t>Bundesverwaltungsgericht, 2016-04-26, DE</w:t>
      </w:r>
    </w:p>
    <w:p>
      <w:r>
        <w:rPr>
          <w:b/>
        </w:rPr>
        <w:t xml:space="preserve">Quelle: </w:t>
      </w:r>
      <w:r>
        <w:t>https://mcp.opencaselaw.ch/entscheid/bvger_E-2400_2016</w:t>
      </w:r>
    </w:p>
    <w:p>
      <w:r>
        <w:t>FR: TAF E-2400/2016 du 26 avril 2016</w:t>
      </w:r>
    </w:p>
    <w:p>
      <w:r>
        <w:t>IT: TAF E-2400/2016 del 26 aprile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unter nachfolgend festzustellendem Vorbehalt,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Insoweit der Beschwerdeführer in der Rechtmitteleingabe vorbringt, er könne gemäss Art. 7 i.V.m. Art. 3 AsylG Asyl beanspruchen und hierzu Gründe aufführt, die ihn zum Verlassen seines Heimat- oder Herkunftslandes veranlasst habe, ist auf die Beschwerde nicht einzutreten.</w:t>
      </w:r>
    </w:p>
    <w:p>
      <w:r>
        <w:rPr>
          <w:b/>
        </w:rPr>
        <w:t>E. 2.4</w:t>
      </w:r>
    </w:p>
    <w:p>
      <w:r>
        <w:t>Die Beschwerde erweist sich im Weiteren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 der Vorinstanz ist weder in tatsächlicher noch in rechtlicher Hinsicht zu beanstanden. Die Beschwerde zeigt nicht auf, inwiefern die Vorinstanz Bundesrecht verletzt oder den vorliegend erheblichen Sachverhalt fehlerhaft festgestellt haben soll. Solches ist auch nicht ersichtlich.</w:t>
      </w:r>
    </w:p>
    <w:p>
      <w:r>
        <w:rPr>
          <w:b/>
        </w:rPr>
        <w:t>E. 3.3</w:t>
      </w:r>
    </w:p>
    <w:p>
      <w:r>
        <w:t>Die Vorinstanz hat anhand des zentralen Visa-Informationssystems (CS-Vis) zu Recht die Zuständigkeit Polens erkannt und die polnischen Behörden - gestützt auf Art. 12 Abs. 2 Dublin-III-VO - um Übernahme ersucht. Das Gesuch wurde gutgeheissen. Sofern ein Antragssteller ein gültiges Visum besitzt, ist der Mitgliedstaat, der das Visum erteilt hat, grundsätzlich für die Prüfung des Antrags auf internationalen Schutz zuständig (Art. 12 Abs. 2 Dublin-III-VO). Der nach dieser Verordnung zuständige Mitgliedstaat ist verpflichtet, einen Antragsteller, der in einem anderen Mitgliedstaat einen Antrag gestellt hat, nach Massgabe der Art. 21, 22 und 29 Dublin-III-VO aufzunehmen (Art. 18 Abs. 1 Bst. a Dublin-III-VO). Polen ist somit verpflichtet, den Beschwerdeführer wieder aufzunehmen und angemessene Vorkehrungen für die Rückkehr zu treffen. Die Ausführungen auf Beschwerdeebene vermögen die Schlussfolgerung der Vorinstanz offenkundig nicht umzustossen oder in Frage zu stellen. Der geäusserte Wunsch nach einem weiteren Verbleib in der Schweiz darf keinen Einfluss auf die Zuständigkeit für das Asyl- und Wegweisungsverfahren haben, da es grundsätzlich nicht Sache der asylsuchenden Person ist, den für ihr Asylverfahren zuständigen Staat selber zu bestimmen, sondern die Bestimmung des für sie zuständigen Staates obliegt alleine den beteiligten Dublin-Vertragsstaaten. Die Dublin-III-VO räumt den Schutzsuchenden kein Recht ein, den ihren Antrag prüfenden Staat selber auszuwählen (vgl. auch BVGE 2010/45 E. 8.3). Die Vorinstanz hat folgerichtig ein Selbsteintrittsrecht ausgeschlossen. Der Beschwerdeführer macht offenkundig keine hinreichenden Gründe geltend, die zu einem Selbsteintritt der Schweiz führen könnten (Art. 17 Dublin-III-VO). Es sind auch keine rechtserheblichen Anhaltspunkte ersichtlich, aus denen aus humanitären Gründen gemäss Art. 29a Abs. 3 AsylV 1 einen Selbsteintritt der Schweiz folgen könnte. Gemäss Praxis des Bundesverwaltungsgerichts verfügt das SEM bei der Anwendung der Kann-Bestimmung von Art. 29a Abs. 3 AsylV 1 über einen Ermessensspielraum (vgl. zum Ganzen BVGE 2015/9).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3.4</w:t>
      </w:r>
    </w:p>
    <w:p>
      <w:r>
        <w:t>Das SEM ist demnach zu Recht in Anwendung von Art. 31a Abs. 1 Bst. b AsylG auf das Asylgesuch des Beschwerdeführers nicht eingetreten. Auch seine Überstellung nach Polen in Anwendung von Art. 44 AsylG wurde zu Recht angeordnet, zumal er nicht im Besitz einer gültigen Aufenthalts- oder Niederlassungsbewilligung ist (Art. 32 Bst. a AsylV 1).</w:t>
      </w:r>
    </w:p>
    <w:p>
      <w:r>
        <w:rPr>
          <w:b/>
        </w:rPr>
        <w:t>E. 3.5</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4</w:t>
      </w:r>
    </w:p>
    <w:p>
      <w:r>
        <w:t>Aus diesen Erwägungen ergibt sich, dass die angefochtene Verfügung Bundesrecht nicht verletzt und auch sonst nicht zu beanstanden ist (Art. 106 AsylG und Art. 49 VwVG). Die Beschwerde ist abzuweisen, soweit auf sie einzutreten ist.</w:t>
      </w:r>
    </w:p>
    <w:p>
      <w:r>
        <w:rPr>
          <w:b/>
        </w:rPr>
        <w:t>E. 5</w:t>
      </w:r>
    </w:p>
    <w:p>
      <w:r>
        <w:t>Das Gesuch, der vorliegenden Beschwerde sei die aufschiebende Wirkung zu erteilen, ist mit dem Ergehen des Urteils in der Hauptsache gegenstandslos.</w:t>
      </w:r>
    </w:p>
    <w:p>
      <w:r>
        <w:rPr>
          <w:b/>
        </w:rPr>
        <w:t>E. 6</w:t>
      </w:r>
    </w:p>
    <w:p>
      <w:r>
        <w:t>Der Beschwerdeführer beantragt die Gewährung der unentgeltlichen Rechtspflege gemäss Art. 65 Abs. 1 VwVG. Aufgrund der vorstehenden Erwägungen ergibt sich, dass seine Begehren als aussichtslos qualifiziert werden müssen. Damit ist eine der kumulativ zu erfüllenden Voraussetzungen nicht gegeben, weshalb das Gesuch abzuweisen ist.</w:t>
      </w:r>
    </w:p>
    <w:p>
      <w:r>
        <w:rPr>
          <w:b/>
        </w:rPr>
        <w:t>E. 7</w:t>
      </w:r>
    </w:p>
    <w:p>
      <w:r>
        <w:t>Bei diesem Ausgang des Verfahrens sind die Kosten in Höhe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