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E-2394/2020 vom 19. Februar 2021</w:t>
      </w:r>
    </w:p>
    <w:p>
      <w:r>
        <w:t>Bundesverwaltungsgericht, 2021-02-19, DE</w:t>
      </w:r>
    </w:p>
    <w:p>
      <w:r>
        <w:rPr>
          <w:b/>
        </w:rPr>
        <w:t xml:space="preserve">Quelle: </w:t>
      </w:r>
      <w:r>
        <w:t>https://mcp.opencaselaw.ch/entscheid/bvger_E-2394_2020</w:t>
      </w:r>
    </w:p>
    <w:p>
      <w:r>
        <w:t>FR: TAF E-2394/2020 du 19 février 2021</w:t>
      </w:r>
    </w:p>
    <w:p>
      <w:r>
        <w:t>IT: TAF E-2394/2020 del 19 febbraio 2021</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2 AsylG und Art. 52 Abs. 1 VwVG).</w:t>
      </w:r>
    </w:p>
    <w:p>
      <w:r>
        <w:rPr>
          <w:b/>
        </w:rPr>
        <w:t>E. 2</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3.1</w:t>
      </w:r>
    </w:p>
    <w:p>
      <w:r>
        <w:t>In der Beschwerde wird eine Verletzung des Untersuchungsgrundsatzes beziehungsweise eine unvollständige Feststellung des rechtserheblichen Sachverhalts gerügt. Dabei handelt es sich um eine formelle Rüge, welche vorab zu beurteilen ist, da sie allenfalls geeignet wäre, eine Kassation der vorinstanzlichen Verfügung zu bewirken.</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3.3</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3.4</w:t>
      </w:r>
    </w:p>
    <w:p>
      <w:r>
        <w:t>Die Behörde hat den Sachverhalt von Amtes wegen zu untersuchen und daher bei Unklarheiten nachzufragen. Bei offengebliebenen Fragen sind zusätzliche Untersuchungsmittel einzusetzen, wie beispielsweise eine ergänzende Anhörung (Kölz/Häner/Bertschi, Verwaltungsverfahren und Verwaltungsrechtspflege des Bundes, 3. Aufl. 2013, Rz. 142; Spescha/ Kerland/Bölzli, Handbuch zum Migrationsrecht, 4. Aufl. 2020, S. 436).</w:t>
      </w:r>
    </w:p>
    <w:p>
      <w:r>
        <w:rPr>
          <w:b/>
        </w:rPr>
        <w:t>E. 3.5</w:t>
      </w:r>
    </w:p>
    <w:p>
      <w:r>
        <w:t>Der Beschwerdeführer rügt eine unvollständige Sachverhaltsabklärung. Während seiner Anhörung sei er weder darauf hingewiesen worden, seine Aussagen würden einen zu niedrigen Detaillierungsgrad aufweisen noch sei er dazu aufgefordert worden, detailliertere Angaben zu machen. Die in BVGE 2014/30 (E. 2.3) genannten Mindestgarantien müssen in Verfahren von Minderjährigen eingehalten werden. Insbesondere in einer ersten Phase sollen in Anhörungen von Minderjährigen Fragen zu den Asylgründen offen formuliert werden, um einen freien Bericht zu fördern. Wird die Anhörung eines unbegleiteten Minderjährigen nicht dem Alter entsprechend durchgeführt, stellt dies eine Verletzung des rechtlichen Gehörs dar. In Frage F70 der Anhörung (act. A14) wurde der Beschwerdeführer aufgefordert, zu schildern, weshalb er sein Heimatland verlassen habe, worauf dieser in vier Zeilen knapp antwortete. Anstatt den minderjährigen Beschwerdeführer mit offenen Fragen zu ermuntern, weiter und detaillierter über seine Erlebnisse zu erzählen, wechselte der Sachbearbeiter das Thema und fragte ihn anschliessend, wann er seine Heimat verlassen habe. Ziel der Anhörung ist, möglichst lange Erzählpassagen zu den Vorbringen zu fördern, um den rechtserheblichen Sachverhalt erstellen und anhand dessen die Glaubhaftigkeit der Vorbringen prüfen zu können. Insgesamt wurden dem Beschwerdeführer kaum offene Fragen zu selbst Erlebtem gestellt. In Frage 91 (act. A14) fordert der Sachbearbeiter den Beschwerdeführer auf, zu schildern, wie sein Vater und seine Schwester im Fahrzeug getötet worden seien. Gemäss seinen Angaben habe der Beschwerdeführer diesen Anschlag selber nicht miterlebt, sondern könne nur vom Hörensagen davon erzählen. Nach der freien Erzählung des Beschwerdeführers hätte man ihn beispielsweise den Tag schildern lassen können, als er vom Tode seiner Mutter und seines Bruders erfahren habe. Auch dem Protokoll der Befragung zur Person (act. A12) lässt sich entnehmen, dass der Sachbearbeiter nach der freien Schilderung der Gesuchsgründe unter der Rubrik «Fragen zu den geltend gemachten Gesuchsgründen» nicht weiter auf die geltend gemachten Vorbringen des Beschwerdeführers eingegangen ist, sondern Fragen zu anderen Themenbereichen wie der Schulzeit und dem angegebenen Alter gestellt hat. Auch hier wurde der Beschwerdeführer zu wenig auf die Gesuchsgründe hin fokussiert befragt. Die Verletzlichkeit des minderjährigen Beschwerdeführers im Rahmen der Befragung und der Anhörung wurde durch die Vorinstanz insofern berücksichtigt, als der Sachbearbeiter ein Klima des Vertrauens geschaffen hat. Seine Frageweise entspricht jedoch nicht den in BVGE 2014/30 aufgestellten Kriterien für eine kindgerechte Anhörung. Er hat zu wenige offene Fragen gestellt, um den freien Bericht zu fördern. Zudem hätte der Sachbearbeiter bei einem zu niedrigen Detaillierungsgrad der Aussagen - wie dies dem Beschwerdeführer in der angefochtenen Verfügung vorgeworfen wird - diesem klar signalisieren müssen, dass von ihm ausführlichere Aussagen erwartet werden. Es liegt damit eine Verletzung des rechtlichen Gehörs vor und aufgrund der mangelhaft durchgeführten Anhörung wurde der Sachverhalt nicht vollständig erstellt. Weiter ist festzustellen, dass der Beschwerdeführer nur einmal und nicht, wie von der Vorinstanz erwähnt, mehrmals aufgefordert wurde, Beweismittel im Zusammenhang mit dem geltend gemachten Sachverhalt (Tötung des Vaters, Tätigkeiten des Vaters und des Bruders für die Polizei resp. Armee) einzureichen. Wäre das SEM davon ausgegangen, dass die erwähnten Beweismittel den geltend gemachten Sachverhalt hätten belegen können, hätte es dem Beschwerdeführer eine angemessene Frist zur Einreichung der Beweismittel ansetzen müssen. Ihm wurde jedoch keine Frist angesetzt und nur knapp drei Wochen nach der Anhörung wurde die Verfügung erlassen. Im Übrigen ist es Sache der Behörde, den Sachverhalt von Amtes festzustellen. Ob der Beschwerdeführer also im Beisein seiner Rechtsvertretung angehört wurde oder nicht, ändert hieran, wie vom Beschwerdeführer geltend gemacht, nichts. Die Anwesenheit einer Rechtsvertretung entbindet die Vorinstanz nicht von ihrer Untersuchungspflicht.</w:t>
      </w:r>
    </w:p>
    <w:p>
      <w:r>
        <w:rPr>
          <w:b/>
        </w:rPr>
        <w:t>E. 4</w:t>
      </w:r>
    </w:p>
    <w:p>
      <w:r>
        <w:t>Das Bundesverwaltungsgericht entscheidet in der Regel reformatorisch. Nur ausnahmsweise wird eine angefochtene Verfügung kassiert und an die Vorinstanz zurückgewiesen. Vorliegend ist der rechtserhebliche Sachverhalt nicht erstellt. Es ist nicht Sache des Gerichts als letztinstanzliche Beschwerdeinstanz Sachverhaltsabklärungen durchzuführen. Eine Kassation der angefochtenen Verfügung ist daher gerechtfertigt. Die Beschwerde ist gutzuheissen. Die Verfügung vom 3. April 2020 ist aufzuheben und zur vollständigen Feststellung des rechtserheblichen Sachverhalts an die Vorinstanz zurückzuweisen. Das SEM ist anzuweisen, den Beschwerdeführer nochmals zu den Asylgründen anzuhören. Die Anhörung ist gemäss den in BVGE 2014/30 aufgestellten Kriterien für eine kindgerechte Anhörung durchzuführen.</w:t>
      </w:r>
    </w:p>
    <w:p>
      <w:r>
        <w:rPr>
          <w:b/>
        </w:rPr>
        <w:t>E. 5</w:t>
      </w:r>
    </w:p>
    <w:p>
      <w:r>
        <w:t>Bei diesem Ausgang des Verfahrens sind keine Kosten zu erheben (Art. 63 Abs. 1 und 2 VwVG).</w:t>
      </w:r>
    </w:p>
    <w:p>
      <w:r>
        <w:rPr>
          <w:b/>
        </w:rPr>
        <w:t>E. 6</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reichte eine Honorarnote in der Höhe von insgesamt Fr. 1'655.- (inkl. Auslagen) bei einem Stundenansatz von Fr. 200.- ein. Der Aufwand erscheint unter Berücksichtigung der massgebenden Berechnungsfaktoren (Art. 8-11 VGKE) angemessen. Aufgrund der Parteientschädigung erübrigt sich die Ausrichtung eines Honorars an die vom Gericht eingesetzte amtliche Rechtsbeiständin.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