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E-2392/2022 vom 18. Mai 2022</w:t>
      </w:r>
    </w:p>
    <w:p>
      <w:r>
        <w:t>Bundesverwaltungsgericht, 2022-05-18, DE</w:t>
      </w:r>
    </w:p>
    <w:p>
      <w:r>
        <w:rPr>
          <w:b/>
        </w:rPr>
        <w:t xml:space="preserve">Quelle: </w:t>
      </w:r>
      <w:r>
        <w:t>https://mcp.opencaselaw.ch/entscheid/bvger_E-2392_2022_d20220518</w:t>
      </w:r>
    </w:p>
    <w:p>
      <w:r>
        <w:t>FR: TAF E-2392/2022 du 18 mai 2022</w:t>
      </w:r>
    </w:p>
    <w:p>
      <w:r>
        <w:t>IT: TAF E-2392/2022 del 18 maggio 2022</w:t>
      </w:r>
    </w:p>
    <w:p>
      <w:pPr>
        <w:pStyle w:val="Heading2"/>
      </w:pPr>
      <w:r>
        <w:t>Regeste</w:t>
      </w:r>
    </w:p>
    <w:p>
      <w:r>
        <w:t>Nichteintreten auf Asylgesuch und Wegweisung (Dublin-Verfahren) | Nichteintreten auf Asylgesuch und Wegweisung (Dublin-Verfahren); Verfügung des SEM vom 18. Mai 2022</w:t>
      </w:r>
    </w:p>
    <w:p>
      <w:pPr>
        <w:pStyle w:val="Heading2"/>
      </w:pPr>
      <w:r>
        <w:t>Erwägungen</w:t>
      </w:r>
    </w:p>
    <w:p>
      <w:r>
        <w:rPr>
          <w:b/>
        </w:rPr>
        <w:t>E. 21</w:t>
      </w:r>
    </w:p>
    <w:p>
      <w:r>
        <w:t>Februar 2022 E. 4.2.2) und daher eine Einzelfallprüfung durch die Vo- rinstanz nicht erforderlich ist, dass Asylverfahren und Aufnahmebedingungen in Bulgarien keine syste- mischen Mängel aufweisen (vgl. Referenzurteil F-7195/2018 vom 11. Feb- ruar 2020 E. 6.6.1 und 6.6.7) und es sich beim Beschwerdeführer nicht um eine vulnerable Person handelt, dass letztlich auch das aktuelle Kriegsgeschehen in der Ukraine an dieser Einschätzung keine Veränderung zeitigt, dass demzufolge weder völkerrechtliche noch humanitäre Gründe vorlie- gen, die einen Selbsteintritt der Schweiz gemäss Art. 3 Abs. 2 Dublin-III- Verordnung nahelegen würden, dass der angefochtene Entscheid somit keine die Schweiz bindende völ- kerrechtliche Bestimmung verletzt und die Vorinstanz bei der Anwendung von Art. 29a Abs. 3 AsylV 1 in Verbindung mit Art. 17 Dublin-III-VO das ihr zustehende Ermessen gesetzeskonform ausgeübt hat (vgl. BVGE 2015/9 E. 8), weshalb Bulgarien zuständiger Mitgliedstaat gemäss Dublin-III-VO bleibt und verpflichtet ist, den Beschwerdeführer wiederaufzunehmen, dass das SEM demnach in Anwendung von Art. 31a Abs. 1 Bst. b AsylG zu Recht auf das Asylgesuch des Beschwerdeführers nicht eingetreten ist, dass das Nichteintreten auf ein Asylgesuch in der Regel die Wegwei- sung aus der Schweiz zur Folge hat (Art. 44 AsylG), vorliegend der</w:t>
      </w:r>
    </w:p>
    <w:p>
      <w:r>
        <w:t>E-2392/2022 Seite 6 Kanton keine Aufenthaltsbewilligung erteilt hat und zudem kein An- spruch auf Erteilung einer solchen besteht (vgl. EMARK 2001 Nr. 21), weshalb die verfügte Wegweisung im Einklang mit den gesetzlichen Bestimmungen steht und demnach vom SEM zu Recht angeordnet wurde, dass im Rahmen des Dublin-Verfahrens, bei dem es sich um ein Über- stellungsverfahren in den für die Prüfung des Asylgesuches zuständi- gen Staat handelt, systembedingt kein Raum bleibt für Ersatzmass- nahmen im Sinne von Art. 44 AsylG i.V.m. Art. 83 Abs. 1 AIG, dass eine entsprechende Prüfung soweit notwendig vielmehr bereits im Rahmen des Dublin-Verfahrens stattfinden muss (vgl. BVGE 2010/45 E. 10) und daher auf vorstehende Erwägungen zu verweisen ist, dass in diesem Sinne die Vorinstanz den Vollzug der Wegweisung nach Bulgarien zu Recht als zulässig, zumutbar und möglich erachtete, dass es dem Beschwerdeführer demnach nicht gelungen ist darzutun, inwiefern die angefochtene Verfügung Bundesrecht verletzt oder den rechtserheblichen Sachverhalt unrichtig oder unvollständig feststellt (Art. 106 AsylG), weshalb die Beschwerde abzuweisen ist, dass mit dem vorliegenden Urteil das Gesuch um Verzicht auf das Erheben eines Kostenvorschusses gegenstandslos wird, dass das Gesuch um Gewährung der unentgeltlichen Prozessführung ab- zuweisen ist, da die Begehren – wie sich aus den vorstehenden Erwägun- gen ergibt – als aussichtslos zu bezeichnen sind, dass die Verfahrenskosten somit dem Beschwerdeführer aufzuerlegen (Art. 63 Abs. 1 VwVG) und auf insgesamt Fr. 750.– festzusetzen sind (Art. 1–3 des Reglements vom 21. Februar 2008 über die Kosten und Entschä- digungen vor dem Bundesverwaltungsgericht [VGKE, SR 173.320.2]).</w:t>
      </w:r>
    </w:p>
    <w:p>
      <w:r>
        <w:t>(Dispositiv nächste Seite)</w:t>
      </w:r>
    </w:p>
    <w:p>
      <w:r>
        <w:t>E-2392/2022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