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E-2390/2017 vom 20. Februar 2019</w:t>
      </w:r>
    </w:p>
    <w:p>
      <w:r>
        <w:t>Bundesverwaltungsgericht, 2019-02-20, DE</w:t>
      </w:r>
    </w:p>
    <w:p>
      <w:r>
        <w:rPr>
          <w:b/>
        </w:rPr>
        <w:t xml:space="preserve">Quelle: </w:t>
      </w:r>
      <w:r>
        <w:t>https://mcp.opencaselaw.ch/entscheid/bvger_E-2390_2017</w:t>
      </w:r>
    </w:p>
    <w:p>
      <w:r>
        <w:t>FR: TAF E-2390/2017 du 20 février 2019</w:t>
      </w:r>
    </w:p>
    <w:p>
      <w:r>
        <w:t>IT: TAF E-2390/2017 del 20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 abweisende Verfügung im Wesentlichen damit, dass die Vorbringen des Beschwerdeführers weder den Anforderungen an die Asylrelevanz gemäss Art. 3 AsylG noch an die Glaubhaftigkeit gemäss Art. 7 AsylG standhalten würden. Seine Angaben betreffend den Schulabbruch und Fluchtentscheid seien nicht mit den Fakten zum eritreischen Bildungssystem vereinbar. Es könne davon ausgegangen werden, dass er zum Zeitpunkt seiner Ausreise im (...) 2014 bereits wieder die Schule hätte besuchen können und somit auch keine Furcht vor einer Rekrutierung in den Militärdienst hätte haben müssen. Die Darstellung der Ereignisse, welche zu seiner Flucht geführt hätten, würden somit nicht plausibel erscheinen. Unglaubhaft seien auch seine Vorbringen zu den Hintergründen der Verfolgung, die er wegen seines Vaters erlitten haben soll. Insbesondere sei aus seinem - im (...) 2003 ausgestellten - Geburtsregisterauszug ersichtlich, dass die Behörden bereits damals davon ausgegangen seien, dass sein Vater in C._______ und somit nicht mehr in Eritrea lebe. Überdies gebe es Divergenzen zwischen seinen Ausführungen anlässlich der ergänzenden Anhörung und den beiden vorangehenden Anhörungen. So habe er an der BzP und der ersten Anhörung erklärt, die Behörden seien ab (...) respektive (...) 2014 drei Mal zu ihnen gekommen. An der ergänzenden Anhörung habe er demgegenüber zu Protokoll gegeben, die Behörden seien seit dem Verschwinden seines Vaters wiederholt vorbeigekommen und hätten seine Mutter befragt. Seit dem Tod seiner Mutter bis zu seiner Ausreise seien die Soldaten ungefähr sechsmal bei ihnen erschienen. Seine diesbezüglichen Erklärungsversuche, dass er sich dazu bisher einfach noch nicht ausführlich habe äussern können, vermöchten nicht zu überzeugen. Da er zudem nie ein persönliches Aufgebot für den Militärdienst erhalten habe, sei auch nicht plausibel, dass die Verwaltung seine Grossmutter aufgefordert habe, die Kinder vorbeizubringen. Seine diesbezüglichen Ausführungen seien äusserst vage und oberflächlich ausgefallen. Da ihm nicht geglaubt werde könne, dass er zum geltend gemachten Zeitpunkt und unter den geltend gemachten Umständen in Eritrea Probleme mit den Behörden gehabt habe, sei auf die damit einhergehenden Ereignisse wie die Haft in B._______ auch nicht näher einzugehen. Individuelle Anknüpfungspunkte, welche ihn in den Augen des eritreischen Regimes als missliebige Person erscheinen lassen könnten, seien ebenfalls nicht ersichtlich. Die geltend gemachte illegale Ausreise alleine vermöge somit keine asylrelevante Verfolgung zu begründen und deren Glaubhaftigkeit könne offen gelassen werden. Schliesslich sei der Vollzug der Wegweisung zulässig, zumutbar und möglich.</w:t>
      </w:r>
    </w:p>
    <w:p>
      <w:r>
        <w:rPr>
          <w:b/>
        </w:rPr>
        <w:t>E. 5.2</w:t>
      </w:r>
    </w:p>
    <w:p>
      <w:r>
        <w:t>Zur Begründung seiner Beschwerde macht der Beschwerdeführer zunächst geltend, dass sich die Vorinstanz in ihrem Entscheid nicht ausreichend mit den Elementen auseinandergesetzt habe, welche zu seinen Gunsten sprechen würden. Die Schule hätte er erst 2015 fortsetzen können. Er sei im (...) 2014 nicht für die Schule angemeldet gewesen und habe aus Sicht der eritreischen Behörden als Schulabbrecher gegolten. Auch seine Verfolgung aufgrund der vergangenen Desertion seines Vaters erscheine vor dem Hintergrund der willkürlichen Praxis der Militärbehörden plausibel. Seine Vorbringen bezüglich der Vorladung der Verwaltung würden sich mit den bekannten Informationen über die Rekrutierung minderjähriger Schulabbrecher decken. Hierzu verweist der Beschwerdeführer auf eine Länderanalyse und einen Bericht der Schweizerischen Flüchtlingshilfe (SFH; vgl. hierzu Ausführungen in E. 6.1). Da er der Vorladung keine Folge geleistet habe, gelte er als Deserteur. Überdies hätte die Vorinstanz die Asylrelevanz der Inhaftierung in B._______ prüfen müssen. Diese habe er detailreich, differenziert und substantiiert beschrieben, was auch die an der Anhörung anwesende Hilfswerksvertretung bestätigt habe. Da er bereits mit den Militärbehörden Kontakt gehabt habe, sei die illegale Ausreise asylrechtlich relevant und er gelte in den Augen der eritreischen Behörden als missliebige Person. Der Vollzug der Wegweisung sei überdies weder zulässig, möglich, noch zumutbar. Insbesondere würde ihm vor dem Hintergrund der problematischen Menschenrechtssituation in Eritrea im Falle einer Rückkehr eine Verletzung von Art. 3 und Art. 4 EMRK drohen.</w:t>
      </w:r>
    </w:p>
    <w:p>
      <w:r>
        <w:rPr>
          <w:b/>
        </w:rPr>
        <w:t>E. 6.1</w:t>
      </w:r>
    </w:p>
    <w:p>
      <w:r>
        <w:t>Das Bundesverwaltungsgericht gelangt nach Prüfung der Akten zu der Erkenntnis, dass die Vorinstanz die Vorbringen des Beschwerdeführers korrekterweise für unglaubhaft befunden hat. Zur Vermeidung von Wiederholungen kann deshalb grundsätzlich auf die ausführlichen und überzeugenden Erwägungen gemäss angefochtener Verfügung (dort E. II Ziff. 2) und auf obige Zusammenfassung in E. 5.1 verwiesen werden. Auch der Inhalt der Rechtsmitteleingabe führt zu keiner anderen Betrachtungsweise. Die Angaben des Beschwerdeführers zum Kerngeschehen erweisen sich insgesamt als wenig substantiiert, nicht realitätsnah sowie teilweise auch als widerspruchsbehaftet. So brachte der Beschwerdeführer beispielsweise im Rahmen der beiden Anhörungen vor, dass im Jahr 2014 Soldaten mehrfach beim Haus seiner Grossmutter erschienen seien, um sich nach dem Verbleib seines Vaters zu erkundigen. Den Akten kann hierzu jedoch entnommen werden, dass die Eltern des Beschwerdeführers sich bereits circa im Jahr 2000 haben scheiden lassen und der Vater anscheinend bald darauf das Land verlassen hat. Der Beschwerdeführer war zu jenem Zeitpunkt erst circa (...)Jahre alt (vgl. A20 F14 und F68). Es ist daher nicht logisch nachvollziehbar, weshalb 14 Jahre nach der Scheidung / Trennung der Eltern nunmehr Soldaten ihn und seine Grossmutter aufsuchen und darüber hinaus ihn zur weiteren Befragung in Haft versetzen sollten. Neben den wenig plausiblen Gründen für diese Vorfälle ist weiter auch zu betonen, dass seine einschlägigen Angaben, wie oft diese Soldaten bei ihnen erschienen sein sollen, teils erheblich variierten. Angesichts der Bedeutung, welche diese Vorfälle in den Sachverhaltsschilderungen des Beschwerdeführers einnehmen, wäre jedoch gerade zu erwarten, dass er sich an die genaue Anzahl exakt zu erinnern vermöchte. Auch die Schilderungen der angeblichen anschliessenden Haft erweisen sich teilweise als nur wenig lebensnah. So bringt der Beschwerdeführer beispielsweise vor, er sei während der rund (...) Haft willkürlich gefoltert, gedemütigt und bestraft worden. Gleichzeitig schildert er, dass bereits am ersten Tag der Haft seine Grossmutter ohne weiteres zu ihm habe kommen können, um sich nach seinem Wohlergehen zu erkundigen. Auch in den folgenden Wochen seien seine Grossmutter und seine Tante fast jeden Tag vorbeigekommen (vgl. A20 F78). Letztere Angaben passen augenscheinlich nicht zu dem Bild einer von Willkür geprägten Haftsituation. Auch die Umstände, durch welche er sodann aus der Haft entlassen worden sein will, erscheinen wenig lebensnah und wirken eher unbedarft: "Nach drei Wochen kam dieser Mann [...] er fragte mich, ob ich weiss, wo mein Vater sei, ob er mich schon mal kontaktiert hat. Ich sagte ihm, ich wüsste gar nichts von ihm. [...] Ich sagte ihm, dass ich mich nur für die Schule interessiere, und sonst für gar nichts. Dann sagte er, es reicht was du uns gesagt hast, den Rest werden wir deine Grossmutter befragen, du darfst gehen, [...]" (vgl. A20 F78). Den Akten sind insgesamt auch keine konkreten Anhaltspunkte zu entnehmen, welche auf ein Aufgebot zur Absolvierung des Militärdienstes schliessen liessen. Hierzu geht aus den Eigenangaben des Beschwerdeführers sogar klar hervor, dass es sich bei der Furcht vor einer Rekrutierung lediglich um eine rein subjektive Einschätzung gehandelt hat (vgl. A27 F83 ff.). Auch aus den beiden Berichten der Schweizerischen Flüchtlingshilfe, auf welche der Beschwerdeführer in seiner Rechtsmitteleingabe vom 25. April 2017 hinweist (SFH, Schnellrecherche der SFH-Länderanalyse vom 10. April 2015 zu Eritrea: Rekrutierung/Wehrdiensteinzug durch Razzien, &lt; https://www.fluechtlingshilfe.ch/assets/herkunftslaender/afrika/eritrea/150410-eri-razzienrekrutierung.pdf &gt;, abgerufen am 15. Februar 2019; SFH, Eritrea: Rekrutierung von Minderjährigen, 21.01.2015, &lt; https://www.fluechtlingshilfe.ch/assets/herkunftslaender/afrika/eritrea/150121-eri-rekrutierung.pdf &gt;, abgerufen am 15. Februar 2019) geht nichts hervor, was seine diesbezüglichen Angaben stützen könnte. Ferner räumt er auch selber unumwunden ein, zu keinem Zeitpunkt eine persönliche Vorladung des Militärs erhalten zu haben (vgl. A27 F87). Aufgrund der voranstehenden Erwägungen kann schliesslich die - von der Vorinstanz aufgeworfene - Frage, ob der Beschwerdeführer zum Zeitpunkt seiner Ausreise nun effektiv für die Schule noch angemeldet gewesen war, offen gelassen werden. Vor dem aufgezeigten Hintergrund ist dieser Aspekt für die weitere Beurteilung der Sachlage nicht von Belang.</w:t>
      </w:r>
    </w:p>
    <w:p>
      <w:r>
        <w:rPr>
          <w:b/>
        </w:rPr>
        <w:t>E. 6.2</w:t>
      </w:r>
    </w:p>
    <w:p>
      <w:r>
        <w:t>Zusammenfassend ist somit festzuhalten, dass die Vorinstanz die Vorbringen des Beschwerdeführers zutreffend für unglaubhaft befunden hat. Es kann nicht davon ausgegangen werden, dass er zum Zeitpunkt seiner illegalen Ausreise für den Nationaldienst aufgeboten war beziehungsweise sich der Rekrutierung entzogen hat und ihm deswegen im Falle einer Rückkehr eine asylrelevante Bestrafung oder Behandlung drohen könnte. Es bleibt im Folgenden zu prüfen, ob er aufgrund seiner illegalen Ausreise bei einer Rückkehr nach Eritrea flüchtlingsrechtlich relevante Verfolgungsmassnahmen zu befürchten hat.</w:t>
      </w:r>
    </w:p>
    <w:p>
      <w:r>
        <w:rPr>
          <w:b/>
        </w:rPr>
        <w:t>E. 7</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(vgl. a.a.O., E. 5). Nachdem der Beschwerdeführer nicht glaubhaft darlegen konnte, zum Ausreisezeitpunkt tatsächlich in konkretem Kontakt mit den Militärbehörden gewesen respektive für den Militärdienst aufgeboten worden zu sein und deswegen im Fokus der eritreischen Behörden zu stehen, sind in vorliegendem Fall keine zusätzlichen Anknüpfungspunkte ersichtlich. Selbst bei einer Wahrunterstellung der behaupteten Verhaftung würde dies nicht zu einer anderen Schlussfolgerung führen. Diese war seinen Angaben zufolge weder aufgrund in seiner Person liegender Gründe, noch im Hinblick auf den Militärdienst erfolgt. Ferner bringt der Beschwerdeführer in diesem Zusammenhang auch ausdrücklich vor, dass er seit seiner angeblichen Entlassung aus der Haft keine Probleme mehr gehabt habe (vgl. A27 F71). Es bleibt daher festzuhalten, dass die illegale Ausreise alleine keine Furcht vor einer zukünftigen flüchtlingsrechtlich relevanten Verfolgung zu begründen vermag.</w:t>
      </w:r>
    </w:p>
    <w:p>
      <w:r>
        <w:rPr>
          <w:b/>
        </w:rPr>
        <w:t>E. 8</w:t>
      </w:r>
    </w:p>
    <w:p>
      <w:r>
        <w:t>Gesamthaft ist es dem Beschwerdeführer somit nicht gelungen, eine relevante Verfolgungsgefahr im Sinne von Art. 3 AsylG beziehungsweise Art. 54 AsylG darzutun. Das SEM hat folglich zu Recht seine Flüchtlingseigenschaft verneint und sein Asylgesuch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ist das flüchtlingsrechtliche Rückschiebungsverbot von Art. 33 Abs. 1 des Abkommens vom 28. Juli 1951 über die Rechtsstellung der Flüchtlinge (FK, SR 0.142.30) und Art. 5 AsylG - wie von der Vorinstanz in der angefochtenen Verfügung zutreffend festgestellt -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11.3</w:t>
      </w:r>
    </w:p>
    <w:p>
      <w:r>
        <w:t>Hinsichtlich der Beurteilung, ob der Beschwerdeführer bei einer Rückkehr nach Eritrea einer Verletzung von Art. 3 und 4 EMRK ausgesetzt wäre, kann aufgrund nachfolgender Erwägungen offen bleiben, ob er bei einer Rückkehr befürchten müsste, in den Nationaldienst eingezogen zu werden.</w:t>
      </w:r>
    </w:p>
    <w:p>
      <w:r>
        <w:rPr>
          <w:b/>
        </w:rPr>
        <w:t>E. 11.3.1</w:t>
      </w:r>
    </w:p>
    <w:p>
      <w:r>
        <w:t>Das Bundesverwaltungsgericht hat sich mit dem Koordinations-entscheid E-5022/2017 vom 10. Juli 2018 (zur Publikation vorgesehen) mit der Frage befasst, ob der Vollzug der Wegweisung auch angesichts einer drohenden Einziehung in den eritreischen Nationaldienst als zulässig (Art. 83 Abs. 3 AIG) und zumutbar (Art. 83 Abs. 4 AIG) qualifiziert werden könne. Beides hat das Gericht mit den folgenden Erwägungen bejaht: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11.3.2</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11.4</w:t>
      </w:r>
    </w:p>
    <w:p>
      <w:r>
        <w:t>Nach dem Gesagten ist der Vollzug der Wegweisung sowohl im Sinne der asyl- als auch der völkerrechtlichen Bestimmungen zulässig.</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Der Beschwerdeführer ist jung, gesund und verfügt über eine mehr als (...) Schulbildung. Gemäss Aktenlage befinden sich seine Grossmutter und seine Geschwister, mit welchen er vor seiner Ausreise gelebt hat, nach wie vor in Eritrea. Zwei seiner Tanten leben zudem in Saudi Arabien. Eine seiner Tanten besitzt dort ein Fotostudio und hat nach Angaben des Beschwerdeführers ein gutes Einkommen, mit welchem sie die Familie in der Vergangenheit bereits regelmässig finanziell unterstützt hat. Mit seinen Familienangehörigen pflegt er regelmässigen Kontakt. Es ist deshalb davon auszugehen, dass sie ihn bei der Reintegration in Eritrea unterstützen können. Seine Familie verfügt zudem über ein Haus in Asmara, womit er bei einer Rückkehr eine gesicherte Wohnsituation vorfinden wird. Besondere individuelle Umstände, aufgrund derer bei einer Rückkehr von einer existenziellen Bedrohung ausgegangen werden müsste, sind den Akten nicht zu entnehmen. Auch die auf Beschwerdeebene vorgebrachte und nicht weiter substantiierte oder belegte psychische Belastung des Beschwerdeführers vermag an dieser Einschätzung nichts zu ändern. Das Bundesverwaltungsgericht stellte im oben angeführten Koordinationsentscheid vom 10. Juli 2018 (vgl. E. 11.3.1) überdies fest, dass die drohende Einziehung in den eritreischen Nationaldienst mangels einer hinreichend konkreten Gefährdung auch nicht generell zur Feststellung der Unzumutbarkeit des Wegweisungsvollzugs gemäss Art. 83 Abs. 4 AlG führt (vgl. a.a.O. E. 6.2). Nach dem Gesagten erweist sich der Vollzug der Wegweisung auch als zumutbar.</w:t>
      </w:r>
    </w:p>
    <w:p>
      <w:r>
        <w:rPr>
          <w:b/>
        </w:rPr>
        <w:t>E. 12.2</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Die Ausführungen in der Beschwerdeeingabe, wonach vom Beschwerdeführer nicht verlangt werden könne, sich durch die Unterzeichnung eines Reueschreibens freiwillig der Gefahr einer Inhaftierung und willkürlichen Bestrafung auszusetzen, stehen dem nicht entgegen (vgl. statt vieler: Urteil des BVGer E-245/2018 vom 17. Januar 2019, E. 7.4) Der Vollzug der Wegweisung ist deshalb auch als möglich zu bezeichnen (Art. 83 Abs. 2 AIG).</w:t>
      </w:r>
    </w:p>
    <w:p>
      <w:r>
        <w:rPr>
          <w:b/>
        </w:rPr>
        <w:t>E. 12.3</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Beschwerdeführer aufzuerlegen (Art. 63 Abs. 1 VwVG). Da mit Zwischenverfügung vom 27. April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15</w:t>
      </w:r>
    </w:p>
    <w:p>
      <w:r>
        <w:t>Mit Zwischenverfügung vom 27. April 2017 wurde dem Beschwerdeführer die unentgeltliche Rechtsverbeiständung gewährt und MLaw Sonia Lopez Hormigo als amtliche Rechtsbeiständin beigeordnet. Ihr ist deshalb ein amtliches Honorar zu entrichten (vgl. für die Grundsätze der Bemessung der Parteientschädigung Art. 7 ff. des Reglements über die Kosten und Entschädigungen vor dem Bundesverwaltungsgericht vom 21. Februar 2008 [VGKE, SR 173.320.2]), wobei bei amtlicher Vertretung für nicht-anwaltliche Vertreter praxisgemäss von einem Stundenansatz von Fr. 100. bis Fr. 150. ausgegangen wird. Die amtliche Rechtsbeiständin macht in der Rechtmitteleingabe vom 25. April 2017 einen zeitlichen Aufwand von 6 Stunden und ein Honorar von insgesamt Fr. 1220.40 (inkl. Spesenpauschale und MwSt.) geltend. Der geltend gemachte zeitliche Aufwand von rund sechs Stunden erscheint als angemessen. Der Stundenansatz ist jedoch auf Fr. 150. zu kürzen. Nicht zu entschädigen ist die geltend gemachte einmalige Pauschale von Fr. 54. für Auslagen, da vom Gericht nur effektiv ausgewiesene Kosten entschädigt werden (vgl. hierzu das Urteil des BVGer E-1113/2017 vom 4. Januar 2019, E. 13.3). Das vom Bundesverwaltungsgericht zu entrichtende Honorar ist demzufolge auf Fr. 972.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