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E-2387/2018 vom 26. Januar 2021</w:t>
      </w:r>
    </w:p>
    <w:p>
      <w:r>
        <w:t>Bundesverwaltungsgericht, 2021-01-26, DE</w:t>
      </w:r>
    </w:p>
    <w:p>
      <w:r>
        <w:rPr>
          <w:b/>
        </w:rPr>
        <w:t xml:space="preserve">Quelle: </w:t>
      </w:r>
      <w:r>
        <w:t>https://mcp.opencaselaw.ch/entscheid/bvger_E-2387_2018</w:t>
      </w:r>
    </w:p>
    <w:p>
      <w:r>
        <w:t>FR: TAF E-2387/2018 du 26 janvier 2021</w:t>
      </w:r>
    </w:p>
    <w:p>
      <w:r>
        <w:t>IT: TAF E-2387/2018 del 26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nachfolgendem Vorbehalt - einzutreten.</w:t>
      </w:r>
    </w:p>
    <w:p>
      <w:r>
        <w:rPr>
          <w:b/>
        </w:rPr>
        <w:t>E. 2</w:t>
      </w:r>
    </w:p>
    <w:p>
      <w:r>
        <w:t>Hinsichtlich des Verfahrensantrags, die aufschiebende Wirkung sei wiederherzustellen, ist anzumerken, dass die Beschwerde von Gesetzes wegen aufschiebende Wirkung hat (Art. 55 Abs. 1 VwVG) und das SEM einer allfälligen Beschwerde diese nicht entzogen hat (Art. 55 Abs. 2 VwVG). Auf den Antrag ist daher mangels Rechtsschutzinteresses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5.1</w:t>
      </w:r>
    </w:p>
    <w:p>
      <w:r>
        <w:t>Die Vorinstanz begründete ihren Entscheid damit, die Vorbringen des Beschwerdeführers, wonach er im Rahmen seines Dienstes bei der Sepah wegen seiner Weigerung, in den Krieg nach Syrien zu gehen, während 27 Tagen und wegen kleinerer Vergehen bereits zuvor für wenige Tage inhaftiert worden sei, enthielten mehrere Widersprüche, die er anlässlich der ergänzenden Anhörung nicht habe auflösen können. Daher bestünden an diesem Vorbringen erhebliche Zweifel. Zudem seien seine Schilderungen zur Haft unsubstanziiert ausgefallen und es seien ihnen kaum persönliche Elemente zu entnehmen, was den bereits vermittelten Eindruck von nicht tatsächlich Erlebtem verstärke. Weitere Zweifel bestünden am Vorbringen, wonach man ihn zu einem Einsatz in Syrien habe zwingen wollen, ihn wegen seiner ablehnenden Haltung inhaftiert und nach seiner Einwilligung wieder entlassen habe, und er daraufhin aus dem Dienst der Sepah desertiert sei. So verfüge der Iran diversen Berichten zufolge für den Einsatz in Syrien über unzählige motivierte Freiwillige. Die Revolutionsgarden müssten deshalb viele Bewerber für den Syrieneinsatz abweisen. Es erscheine vor diesem Hintergrund unwahrscheinlich, dass man den Beschwerdeführer trotz fehlender Motivation und als Strafe für den Krieg in Syrien gegen seinen Willen habe rekrutieren wollen. Daher sei auch die infolge seiner Weigerung geltend gemachte Inhaftierung unglaubhaft. Mit den - bis auf den iranischen Führerausweis - nur in Kopie eingereichten Beweismitteln könne er nichts zu seinen Gunsten ableiten. Ferner führte die Vorinstanz zum Vorbringen des Beschwerdeführers, wonach er sich für einen Kriegseinsatz in Syrien bereit erklärt habe und daraufhin aus dem Dienst desertiert sei, aus, es bestünden aufgrund des Profils des Beschwerdeführers und seiner Vorgeschichte keine glaubhaften Gründe dafür, dass man ihn im Falle einer Desertion in flüchtlingsrelevantem Ausmass bestrafen würde. Dabei verwies sie auf die Rechtsprechung des Bundesverwaltungsgerichts, wonach eine allfällige Strafe wegen Refraktion oder Desertion grundsätzlich keine Verfolgung im Sinne von Art. 3 AsylG darstelle. Zudem habe der Beschwerdeführer ausser den vorgebrachten Problemen während des Dienstes bei der Sepah keine Schwierigkeiten mit dem iranischen Staat geltend gemacht. Bereits sein Onkel und sein Vater seien beim Militär gewesen respektive hätten der Sepah gedient. Sein Vater geniesse ein hohes Ansehen. Der Beschwerdeführer habe ferner eine höhere Position innerhalb der Sepah gehabt und gehöre als Schiite im Iran der religiösen Mehrheit an. Die eingereichte Militärbefreiungskarte respektive die Dokumente der Sepah würden zwar seine Dispensierung vom Militärdienst beziehungsweise den Dienst bei der Sepah belegen, nicht aber die angebliche Desertion. Im Weiteren habe er die Flucht aus der Kaserne oberflächlich und ohne Realkennzeichen geschildert. Schliesslich hielt die Vorinstanz in Bezug auf die geltend gemachte exilpolitische Tätigkeit des Beschwerdeführers (negative Äusserungen in sozialen Medien wie Facebook und Instagram gegen die iranische Regierung) fest, es seien in diesem Zusammenhang keine Beweismittel eingereicht worden. Die vom Beschwerdeführer angegebenen Profile auf Instagram und Facebook seien gesucht, jedoch nur auf Instagram gefunden worden. Aufgrund seiner Beiträge auf Instagram könne sein exilpolitisches Wirken jedoch nicht als derart exponiert bezeichnet werden, dass er bei einer Rückkehr in den Iran Furcht vor asylrechtlich relevanter Verfolgung haben müsste. Bei den Beiträgen handle es sich mehrheitlich um reproduzierte und nicht von ihm verfasste Texte und Bilder. Gestützt darauf steche er nicht besonders aus der Masse der Regimekritiker hervor. Er gelinge ihm damit nicht aufzuzeigen, inwiefern die iranischen Behörden gerade an ihm ein spezielles Interesse zeigen sollten.</w:t>
      </w:r>
    </w:p>
    <w:p>
      <w:r>
        <w:rPr>
          <w:b/>
        </w:rPr>
        <w:t>E. 5.2</w:t>
      </w:r>
    </w:p>
    <w:p>
      <w:r>
        <w:t>Der Beschwerdeführer machte demgegenüber geltend, er sei nachgewiesenermassen (...) der Revolutionsgarde der islamischen Republik. Er sei desertiert, weil er in Syrien nicht auf Menschen habe schiessen wollen. Falls dies publik werde - er sei weiterhin auf den Webseiten von F._______ abgebildet - müsse er mit seiner Beseitigung oder schwerer Bestrafung rechnen. Hinzu komme, dass er sich im Internet bereits mehrmals negativ gegen das Regime geäussert habe. Hinsichtlich der als unglaubhaft erachteten Vorbringen sei dies auf Missverständnisse respektive mangelhafte Dolmetscherarbeit und fehlende Kenntnisse des SEM zurückzuführen. Die Annahme der massenhaften Freiwilligkeit betreffend Einsätze in Syrien sei falsch.</w:t>
      </w:r>
    </w:p>
    <w:p>
      <w:r>
        <w:rPr>
          <w:b/>
        </w:rPr>
        <w:t>E. 5.3</w:t>
      </w:r>
    </w:p>
    <w:p>
      <w:r>
        <w:t>Die Vorinstanz hielt in ihrer Vernehmlassung an ihrem Standpunkt fest. Insbesondere führte sie hinsichtlich der im Original eingereichten Unterlagen, welche bereits im vorinstanzlichen Verfahren in Kopie vorgelegen hätten, aus, die Tätigkeit des Beschwerdeführers für die Revolutionsgarde sei grundsätzlich nicht bestritten worden.</w:t>
      </w:r>
    </w:p>
    <w:p>
      <w:r>
        <w:rPr>
          <w:b/>
        </w:rPr>
        <w:t>E. 6.1</w:t>
      </w:r>
    </w:p>
    <w:p>
      <w:r>
        <w:t>Nach Prüfung der Akten gelangt das Bundesverwaltungsgericht zum Schluss, dass die Vorinstanz den Vorbringen des Beschwerdeführers zu Recht die Glaubhaftigkeit beziehungsweise die Asylrelevanz abgesprochen hat. Es kann zur Vermeidung von Wiederholungen auf die Ausführungen unter E. 5.1. verwiesen werden. Mit den in der Beschwerdeschrift erhobenen Einwänden und den diesbezüglich eingereichten Beweismitteln vermag der Beschwerdeführer diesen nichts Substanzielles entgegenzusetzen. Insbesondere hat die Vorinstanz die vom Beschwerdeführer vorgebrachten Inhaftierungen während seines Dienstes bei der Sepah und die geltend gemachte Zwangsrekrutierung für einen Einsatz in Syrien zu Recht in Zweifel gezogen. Die mittels verschiedener Dokumente (vgl. Sachverhalt Bst. A und C) untermauerte Tätigkeit des Beschwerdeführers bei der Sepah (Revolutionsgarde) wird vom Gericht nicht in Abrede gestellt. Jedoch ist gestützt auf öffentlich zugängliche Quellen höchst unwahrscheinlich, dass der Beschwerdeführer - gemäss seinen Aussagen soll dies zirka ein Jahr vor seiner Einreise in die Schweiz und damit etwa Ende 2014/anfangs 2015 (vgl. Akten A5 S. 7, A33 F96) gewesen sein - trotz fehlender Motivation und als Strafe gegen seinen Willen zu einem Einsatz im Krieg in Syrien hätte rekrutiert werden sollen. Gemäss den Kenntnissen des Bundesverwaltungsgerichts lässt sich der Einsatz der iranischen Kämpfer in Syrien grob in drei Phasen unterteilen, eine erste Phase von 2011 bis Oktober 2015; eine zweite Phase von Oktober 2015 bis April/Mai 2016 und eine dritte Phase ab Mai 2016 (vgl. Al Jazeera, Members of Iran's elite force killed in Syria clashes, 07.05.2016, http://www.aljazeera.com/news/2016/05/members-iran-elite-force-killed-syria-clashes-160507162338065.html, abgerufen am 17. Dezember 2020). In die erste Phase (von 2012 bis 2015, Periode, in welche die Zwangsrekrutierung des Beschwerdeführers gefallen sein soll), fiel der Einsatz von Offizieren der Revolutionsgarden (auch Pasderan, oder Iranian Revolutionary Guard Corps [IRGC]), welche schiitische Truppen auf Seiten Assads anführten. Iranische Behörden sprechen in diesem Zusammenhang von Beratern oder Freiwilligen der IRGC (vgl. Tom Stevenson, Proxy wars, Das Zeitalter der Stellvertreterkriege, in: Le Monde diplomatique, Januar 2021), welche nach Syrien in den Kampf ziehen. In die erste Phase fiel auch der Einsatz von Fatemiyoun Brigaden, welche sich aus freiwilligen oder zwangsweise rekrutierten afghanischen Schiiten (später auch aus Irakern, Pakistanis und eingebürgerten afghanischen Iranern) zusammengesetzt hat. Die zweite Phase begann mit der russischen Intervention Ende September 2015 und wurde durch den vermehrten Einsatz von Bodentruppen der Revolutionsgarden bestimmt. Gleichzeitig wurden auch Rekrutierungs-Regeln definiert, um den "Ansturm an Freiwilligen" einzudämmen, die nach Syrien kämpfen gehen wollten (vgl. Foreign Policy [FP], Iran has more volunteers for the Syrian war than it knows what do with, Mai 2016, http://foreignpolicy.com/2016/05/12/iran-suleimani-basij-irgc-assad-syria/, abgerufen am 17. Dezember 2020). Der Beginn der dritten Phase lässt sich auf April/Mai 2016 festlegen - neben den Revolutionsgarden wurden erstmals reguläre militärische Truppen (Artesh) nach Syrien geschickt (vgl. Al-Monitor, Who sent Iranian Green Berets to Syria?, 28.04.2016, https://www.al-monitor.com/pulse/originals/2016/04/iran-army-brigade-65-green-berets-syria-deployment.html, abgerufen am 17. Dezember 2020). Gestützt auf diese Quellen bestehen erhebliche Zweifel an den Vorbringen des Beschwerdeführers, da sich seine Ausführungen mit der soeben beschriebenen Rekrutierungspraxis weder in zeitlicher noch in persönlicher Hinsicht - auch unter Berücksichtigung, dass er (...) und "ein guter Scharfschütze" gewesen sein soll - decken. Diesbezüglich sind seine Schilderungen wie von der Vorinstanz zutreffend dargelegt, ohnehin unglaubhaft ausgefallen. Daran vermag auch sein Einwand nichts zu ändern, er habe für seine Desertion wegen seines Vaters und seines Onkels, welche beide beim Militär beziehungsweise bei der Sepah gedient hätten (vgl. Akten A30, F28 und F96 sowie A33 F27, 29 und 83), mit einer schwereren Bestrafung zu rechnen. Es ist aufgrund des Gesagten davon auszugehen, dass er aus anderen Gründen und unter anderen Umständen als den von ihm angegebenen aus der Sepah ausgetreten ist. Damit ist auch dem von ihm angegeben Grund für die Inhaftierung von 27 Tagen wegen Weigerung, in den Krieg nach Syrien zu ziehen, die Grundlage entzogen, weshalb auch diese nicht geglaubt werden kann. Überdies hat die Vorinstanz unter Hinweis auf die Rechtsprechung des Bundesverwaltungsgerichts, das Profil des Beschwerdeführers und dessen Vorgeschichte zu Recht festgestellt, dass keine glaubhaften Gründe dafür bestehen, er würde im Falle einer Desertion in flüchtlingsrelevantem Ausmass bestraft werden. Im Übrigen trifft zu, dass in der Verfügung des SEM ein Militärgefängnis von G._______ erwähnt und dazu ausgeführt wird, der Beschwerdeführer habe zu Protokoll gegeben, "in G._______ war ich des Öfteren". Gemäss dem Beschwerdeführer sei das Wort "G._______" falsch übersetzt worden. Es handle sich dabei nicht um den Eigennamen eines bestimmten Gefängnisses, sondern um einen Oberbegriff für ein militärisches Gefängnis. Da die Vorinstanz diesbezüglich nicht auf einen Widerspruch geschlossen hat, ist darauf zu verzichten, diesem angeblichen Missverständlich weiter nachzugehen. Auch kann daraus nicht pauschal der Schluss gezogen werden, dass der Dolmetscher unqualifiziert gewesen sei.</w:t>
      </w:r>
    </w:p>
    <w:p>
      <w:r>
        <w:rPr>
          <w:b/>
        </w:rPr>
        <w:t>E. 6.2</w:t>
      </w:r>
    </w:p>
    <w:p>
      <w:r>
        <w:t>Insgesamt vermochte der Beschwerdeführer damit keine Vorfluchtgründe glaubhaft zu machen oder nachzuweisen.</w:t>
      </w:r>
    </w:p>
    <w:p>
      <w:r>
        <w:rPr>
          <w:b/>
        </w:rPr>
        <w:t>E. 6.3</w:t>
      </w:r>
    </w:p>
    <w:p>
      <w:r>
        <w:t>Schliesslich hat die Vorinstanz bezüglich der geltend gemachten exilpolitischen Aktivitäten des Beschwerdeführers ebenfalls zu Recht eine begründete Furcht vor künftiger Verfolgung verneint.</w:t>
      </w:r>
    </w:p>
    <w:p>
      <w:r>
        <w:rPr>
          <w:b/>
        </w:rPr>
        <w:t>E. 6.3.1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Somit hat sich die Einschätzung des Bundesverwaltungsgerichts zur Lage im Iran (vgl. BVGE 2009/28 E. 7.3.1) auch nach den Präsidentschaftswahlen im Juni 2013 nicht geändert und behält nach wie vor ihre Gültigkeit (vgl. beispielsweise das Urteil des BVGer E-4282/2018 vom 4. März 2020 E. 7.3.1 mit weiteren Hinweisen).</w:t>
      </w:r>
    </w:p>
    <w:p>
      <w:r>
        <w:rPr>
          <w:b/>
        </w:rPr>
        <w:t>E. 6.3.2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Schweizerische Flüchtlingshilfe, "Iran: Illegale Ausreise / Situation von Mitgliedern der PDKI / Politische Aktivitäten im Exil", 16. November 2010, S. 7 ff., m.w.H.). Es ist zwar bekannt, dass die iranischen Behörden die politischen Aktivitäten ihrer Staatsbürger im Ausland überwachen und erfassen (vgl. dazu beispielsweise das Urteil des BVGer E-4302/2020 vom 18. September 2020 E. 6.4.2 m.w.H.). Es bleibt aber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6.3.3</w:t>
      </w:r>
    </w:p>
    <w:p>
      <w:r>
        <w:t>Weder den vorinstanzlichen Akten noch den Darlegungen und eingereichten Beweismitteln auf Beschwerdeebene können Hinweise darauf entnommen werden, dass sich der Beschwerdeführer durch sein Engagement in der Schweiz (Beiträge auf Instagram) in qualifizierter Weise exilpolitisch betätigt hat. Sein Verhalten in der Schweiz ist jedenfalls nicht geeignet, ein ernsthaftes Vorgehen der iranischen Behörden gegen ihn zu bewirken. Zudem bestehen keine Anhaltspunkte für die Annahme, im Iran wären gegen ihn behördliche Massnahmen eingeleitet worden. Aus diesen Gründen ist auch das Vorliegen subjektiver Nachfluchtgründe zu verneinen.</w:t>
      </w:r>
    </w:p>
    <w:p>
      <w:r>
        <w:rPr>
          <w:b/>
        </w:rPr>
        <w:t>E. 6.3.4</w:t>
      </w:r>
    </w:p>
    <w:p>
      <w:r>
        <w:t>Aufgrund der hiervor gemachten Feststellungen, wonach nicht davon auszugehen ist, dass der Beschwerdeführer vor dem Verlassen aus dem Iran als regimefeindliche Person ins Blickfeld der Behörden geraten ist, ist auch im heutigen Zeitpunkt nicht anzunehmen, dass die iranischen Behörden auf ihn aufmerksam geworden sind und ihn als staatsgefährdend einstufen würden und er deshalb flüchtlingsrechtlich relevante Massnahmen zu befürchten hätte.</w:t>
      </w:r>
    </w:p>
    <w:p>
      <w:r>
        <w:rPr>
          <w:b/>
        </w:rPr>
        <w:t>E. 6.4</w:t>
      </w:r>
    </w:p>
    <w:p>
      <w:r>
        <w:t>Nach dem Gesagten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 E-4302/2020 vom 18. September 2020 E.8.4.1 m.w.H.)</w:t>
      </w:r>
    </w:p>
    <w:p>
      <w:r>
        <w:rPr>
          <w:b/>
        </w:rPr>
        <w:t>E. 8.6</w:t>
      </w:r>
    </w:p>
    <w:p>
      <w:r>
        <w:t>Sodann handelt es sich beim Beschwerdeführer um einen jungen und gesunden Mann. Seinen Angaben zufolge verfügt er über zwölf Jahre Schulbildung mit einem Abschluss in (...) und ein Jahr Erwerbstätigkeit. Zudem kann er in seiner Heimat mit seinen Eltern, zwei Geschwistern sowie zahlreichen Onkeln und Tanten auf ein familiäres Beziehungsnetz und eine gesicherte Wohnsituation zurückgreifen, was beim Aufbau einer neuen Existenzgrundlage von Vorteil sein kann (vgl. A5 S. 4 f.). Es bestehen insgesamt keine Anzeichen dafür, dass er bei einer Rückkehr in den Iran in eine existenzielle Notlage geraten würde.</w:t>
      </w:r>
    </w:p>
    <w:p>
      <w:r>
        <w:rPr>
          <w:b/>
        </w:rPr>
        <w:t>E. 8.7</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8.8</w:t>
      </w:r>
    </w:p>
    <w:p>
      <w:r>
        <w:t>Nach dem Gesagten erweist sich der Vollzug der Wegweisung auch als zumutbar.</w:t>
      </w:r>
    </w:p>
    <w:p>
      <w:r>
        <w:rPr>
          <w:b/>
        </w:rPr>
        <w:t>E. 8.9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dem Beschwerdeführer aufzuerlegen (Art. 63 Abs. 1 VwVG). Nachdem mit Verfügung vom 17. Mai 2018 das Gesuch um Gewährung der unentgeltlichen Prozessführung gutgeheissen worden war und der Beschwerdeführer am 21. Januar 2021 Unterlagen zu seiner aktuellen finanziellen Situation (Formular "Gesuch um unentgeltliche Rechtspflege" und Rechnung der Oberstaatsanwaltschaft des Kantons Aargau vom 14. Januar 2021 [Fr. 7'801.-]) eingereicht hat, ist auf die Erhebung von Verfahrenskosten (weiterhin)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