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E-2386/2013 vom 5. November 2014</w:t>
      </w:r>
    </w:p>
    <w:p>
      <w:r>
        <w:t>Bundesverwaltungsgericht, 2014-11-05, DE</w:t>
      </w:r>
    </w:p>
    <w:p>
      <w:r>
        <w:rPr>
          <w:b/>
        </w:rPr>
        <w:t xml:space="preserve">Quelle: </w:t>
      </w:r>
      <w:r>
        <w:t>https://mcp.opencaselaw.ch/entscheid/bvger_E-2386_2013</w:t>
      </w:r>
    </w:p>
    <w:p>
      <w:r>
        <w:t>FR: TAF E-2386/2013 du 5 novembre 2014</w:t>
      </w:r>
    </w:p>
    <w:p>
      <w:r>
        <w:t>IT: TAF E-2386/2013 del 5 novembre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Der (...) in der Schweiz geborene C._______ wird in das vorliegende Urteil miteinbezogen.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Die Beschwerde richtet sich ausschliesslich gegen den Vollzug der Wegweisung. Die Verfügung des BFM vom 26. März 2013 ist, soweit sie die Frage der Flüchtlingseigenschaft und der Asylgewährung betrifft (Dispositivziffern 1 und 2) in Rechtskraft erwachsen. Auch die Wegweisung als solche (Dispositivziffer 3) ist nicht mehr zu überprüfen.</w:t>
      </w:r>
    </w:p>
    <w:p>
      <w:r>
        <w:rPr>
          <w:b/>
        </w:rPr>
        <w:t>E. 5.1</w:t>
      </w:r>
    </w:p>
    <w:p>
      <w:r>
        <w:t>Das BFM führte zur Begründung seines ablehnenden Entscheides aus, die Beschwerdeführerin habe ein widersprüchliches Bild ihrer Familie gezeichnet. Es wirke befremdend, dass ihre grundsätzlich fortschrittlich erscheinende Familie den Töchtern eine Universitätsausbildung und Berufstätigkeit erlaubt haben solle, um auf der anderen Seite plötzlich den rückständigen und archaischen Brauch des Ehrenmordes an ihnen praktizieren zu wollen. Vor allem sei jedoch festzustellen, dass die türkischen Behörden grosse Anstrengungen zur Bekämpfung von häuslicher Gewalt und Ehrenmorden unternommen hätten. Dadurch seien in den vergangenen Jahren bei der faktischen Wahrnehmung frauenspezifischer Schutzanliegen erhebliche Fortschritte erzielt worden. Die Beschwerdeführerin mache nicht geltend, sich bereits vergeblich um Schutz durch die heimatlichen Behörden bemüht zu haben. Daher sei ihr zumutbar und faktisch möglich, anderswo als bei ihrer Familie zu wohnen, wenn dies aus Sicherheitsgründen opportun scheine. Es sei weiter anzunehmen, dass sie zu ihrem Schutz auch private Angebote nutzen könne. Die Beschwerdeführerin habe eine überdurchschnittlich gute Berufsausbildung und verfüge über Berufserfahrung (...) in einer internationalen Firma. Auch wenn sie mit ihrer Kernfamilie nicht mehr in Kontakt stehe, habe sie offenbar ein funktionierendes Beziehungsnetz von Freunden, welche sich sowohl in der Türkei als auch in der Schweiz um sie gekümmert hätten. Davon würden insbesondere auch die Briefe zeugen, welche sie als Beweismittel eingereicht habe. Ausserdem habe sie eine Schwester in der Schweiz, welche weiterhin zu ihr halte, und sie betone auch, über genügend finanzielle Mittel zu verfügen. Sollte die Beschwerdeführerin psychiatrische Behandlung benötigen, so wäre eine solche auch in der Türkei in adäquater Form möglich. Es sei ihr daher zuzumuten, mit ihrem Kind in die Türkei zurückzukehren und sich dort wieder eine Existenz aufzubauen.</w:t>
      </w:r>
    </w:p>
    <w:p>
      <w:r>
        <w:rPr>
          <w:b/>
        </w:rPr>
        <w:t>E. 5.2</w:t>
      </w:r>
    </w:p>
    <w:p>
      <w:r>
        <w:t>In der Beschwerde wird dieser Argumentation entgegengehalten, Ehrenmorde seien besonders in der Herkunftsregion der Beschwerdeführerin - unabhängig von der Ausbildung oder des Lebensstandards der betroffenen Familie - noch heute üblich. Bei einer erzwungenen Rückkehr in die Türkei wäre ihr Leben bedroht. Sie würde wegen dieser familiären Angelegenheit keinen Schutz von den türkischen Behörden erhalten, und es bestehe auch keine innerstaatliche Fluchtalternative. Mit grosser Wahrscheinlichkeit würde sie irgendwie von ihrer Familie gefunden werden.</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Angesichts der heutigen Lage in der Türkei kann gemäss konstanter Praxis nicht von einer Situation allgemeiner Gewalt oder kriegerischen respektive bürgerkriegsähnlichen Verhältnissen gesprochen werden. Ferner sind keine individuellen Gründe ersichtlich, welche die Rückkehr der Beschwerdeführerin und ihrer Kinder als unzumutbar erscheinen lassen würde. Zur Vermeidung von Wiederholungen ist vorab auf die zutreffenden Ausführungen in der angefochtenen Verfügung zu verweisen, welche vollumfänglich zu bestätigen sind. In der Beschwerde wird den vor-instanzlichen Erwägungen nichts Stichhaltiges entgegengesetzt, sondern lediglich ausgeführt, Ehrenmorde seien heute nach wie vor üblich und die Beschwerdeführerin könne keinen behördlichen Schutz bekommen. Diese unbelegten und allgemeinen Behauptungen vermögen die Einschätzung des BFM nicht umzustossen. Es ist davon auszugehen, dass die Beschwerdeführerin dank ihrer guten Ausbildung und dem offenbar vorhandenen ausserfamiliären Beziehungsnetz in der Lage sein wird, sich in der Türkei - wenn nötig auch ohne familiäre Unterstützung - für sich und die Kinder eine Existenz aufzubauen. Auch die geltend gemachten psychischen Probleme sind offensichtlich nicht derart gravierend, dass sie als vollzugshinderlich zu beurteilen wären, zumal sich die Beschwerdeführerin gemäss einer Eingabe der Rechtsvertreterin vom 16. Mai 2013 nicht in fachärztlicher Behandlung befunden hat. Überdies bestehen in der Türkei Möglichkeiten zur Behandlung psychischer Probleme, welche von der Beschwerdeführerin bei Bedarf beansprucht werden können. 6.3.3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mit weiteren Hinweisen). Der ältere Sohn der Beschwerdeführerin ist (...) alt, der jüngere (...). Aufgrund des Alters ist bei beiden davon auszugehen, dass sie sich ohne grössere Probleme an die neue Situation in der Türkei anpassen können. Es ist auch beim älteren Sohn nicht von einer Verwurzelung in der Schweiz und einer Verbundenheit mit den hiesigen Strukturen auszugehen, da die Sozialisierung in diesem Alter noch weitestgehend über die Kernfamilie erfolgt. Eine Traumatisierung durch die Ausreise in die Türkei ist nicht zu erwarten, zumal sie gemeinsam mit der Mutter erfolgt, welche erwartungsgemäss in der Lage sein wird, angemessen für das Wohl ihrer Kinder zu sorgen. Es besteht somit kein Anlass, aus Gründen des Kindeswohls von einem Wegweisungsvollzug abzusehen. 6.3.4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VwVG; Art. 1-3 des Reglements vom 21. Februar 2008 über die Kosten und Entschädigungen vor dem Bundesverwaltungsgericht [VGKE, SR 173.320.2]). Da ihr indessen mit Verfügung vom 3. Mai 2013 die unentgeltliche Prozessführung gewährt wurde, ist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