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E-2385/2021 vom 16. Juli 2021</w:t>
      </w:r>
    </w:p>
    <w:p>
      <w:r>
        <w:t>Bundesverwaltungsgericht, 2021-07-16, DE</w:t>
      </w:r>
    </w:p>
    <w:p>
      <w:r>
        <w:rPr>
          <w:b/>
        </w:rPr>
        <w:t xml:space="preserve">Quelle: </w:t>
      </w:r>
      <w:r>
        <w:t>https://mcp.opencaselaw.ch/entscheid/bvger_E-2385_2021</w:t>
      </w:r>
    </w:p>
    <w:p>
      <w:r>
        <w:t>FR: TAF E-2385/2021 du 16 juillet 2021</w:t>
      </w:r>
    </w:p>
    <w:p>
      <w:r>
        <w:t>IT: TAF E-2385/2021 del 16 luglio 2021</w:t>
      </w:r>
    </w:p>
    <w:p>
      <w:pPr>
        <w:pStyle w:val="Heading2"/>
      </w:pPr>
      <w:r>
        <w:t>Regeste</w:t>
      </w:r>
    </w:p>
    <w:p>
      <w:r>
        <w:t>Asyl (ohne Wegweisungsvollzug)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Der Gesuchsteller versucht mit der Nachreichung von Beweismitteln die im ordentlichen Beschwerdeverfahren vorgebrachte Verfolgung im Heimatland zu belegen und macht damit die ursprüngliche Fehlerhaftigkeit des Beschwerdeentscheids E-1035/2017 vom 9. März 2017 geltend.</w:t>
      </w:r>
    </w:p>
    <w:p>
      <w:r>
        <w:rPr>
          <w:b/>
        </w:rPr>
        <w:t>E. 1.4</w:t>
      </w:r>
    </w:p>
    <w:p>
      <w:r>
        <w:t>Der Gesuchsteller ist durch das betreffende Beschwerdeurteil vom 13. Mai 2019 besonders berührt und hat ein schutzwürdiges Interesse an dessen Aufhebung oder Änderung. Er ist daher zur Einreichung des Revisionsgesuchs legitimiert (Art. 48 Abs. 1 Bst. c VwVG in analogiam).</w:t>
      </w:r>
    </w:p>
    <w:p>
      <w:r>
        <w:rPr>
          <w:b/>
        </w:rPr>
        <w:t>E. 2.1</w:t>
      </w:r>
    </w:p>
    <w:p>
      <w:r>
        <w:t>Mit dem ausserordentlichen Rechtsmittel der Revision wird die Unabänderlichkeit und Massgeblichkeit eines Beschwerdeentscheids angefochten, im Hinblick darauf, dass die Rechtskraft beseitigt wird und über die Sache neu entschieden werden kann (vgl. BVGE 2012/7 E. 2.4.2 mit Verweis auf BVGE 2007/21). Wird das Revisionsgesuch gutgeheissen, beseitigt dies die Rechtkraft des angefochtenen Urteils, das Beschwerdeverfahren ist wiederaufzunehmen und die Streitsache neu zu beurteilen (vgl. André Moser/Michael Beusch/Lorenz Kneubühler, Prozessieren vor dem Bundesverwaltungsgericht, 2. Aufl. 2013, S. 303 Rz. 5.36). Bei einer Gutheissung des Revisionsgesuchs befände sich der Gesuchsteller somit im (ursprünglichen) ordentlichen Beschwerdeverfahren, in welchem sämtliche Beweismittel und Tatsachen, auch jene, die nach dem Urteilszeitpunkt eingereicht beziehungsweise geltend gemacht wurden, nach den für dieses Verfahren geltenden Vorschriften und Grundsätzen zu prüfen wären (vgl. Ursina Beerli-Bonorand, Die ausserordentlichen Rechtsmittel des Bundes und der Kantone, Zürich 1985, S. 165 f.).</w:t>
      </w:r>
    </w:p>
    <w:p>
      <w:r>
        <w:rPr>
          <w:b/>
        </w:rPr>
        <w:t>E. 2.2</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w:t>
      </w:r>
    </w:p>
    <w:p>
      <w:r>
        <w:rPr>
          <w:b/>
        </w:rPr>
        <w:t>E. 2.4</w:t>
      </w:r>
    </w:p>
    <w:p>
      <w:r>
        <w:t>Der Gesuchsteller ruft mit dem nachträglichen Erfahren erheblicher Tatsachen den gesetzlichen Revisionsgrund von Art. 123 Abs. 2 Bst. a BGG an. Das Revisionsgesuch vom 20. Mai 2021 ist damit grundsätzlich hinreichend begründet (vgl. E. 2.3).</w:t>
      </w:r>
    </w:p>
    <w:p>
      <w:r>
        <w:rPr>
          <w:b/>
        </w:rPr>
        <w:t>E. 2.5</w:t>
      </w:r>
    </w:p>
    <w:p>
      <w:r>
        <w:t>Gemäss Art. 124 Abs. 1 Bst. d BGG ist das Revisionsgesuch innert 90 Tagen seit Kenntnis der nachträglich erfahrenen Tatsache oder des aufgefundenen Beweismittels einzureichen. Der Strafregisterauszug wurde der beauftragten syrischen Anwältin am (...) Februar 2021 ausgehändigt. Damit dürfte der Gesuchsteller das Dokument ebenfalls frühestens dann zur Kenntnis erhalten haben (der DHL-Lieferschein datiert vom (...) April 2021), weshalb die besagte Frist von Art. 124 Abs. 1 Bst. d BGG vorliegend als gewahrt zu erachten ist. Auf das Revisionsgesuch ist einzutreten.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ordentlichen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Moser/Beusch/Kneubühler, S. 306 Rz. 5.47).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w:t>
      </w:r>
    </w:p>
    <w:p>
      <w:r>
        <w:rPr>
          <w:b/>
        </w:rPr>
        <w:t>E. 3.2</w:t>
      </w:r>
    </w:p>
    <w:p>
      <w:r>
        <w:t>Dem Gesuchsteller ist es im Rahmen des vorangegangenen Asyl- und Beschwerdeverfahrens nicht gelungen, die Asylrelevanz seiner Fluchtgründe (Verfolgung seitens der syrischen Armee wegen Wehrdienstverweigerung) nachzuweisen. Auf Revisionsebene reicht er nun einen syrischen Strafregisterauszug ein, welcher ein gegen ihn erlassenes Urteil von 2012 - mithin vor Erlass des negativen Asylentscheids betreffend den Gesuchsteller vom 26. Januar 2017 respektive des Beschwerdeurteils vom 9. März 2017 - belegen soll. Er habe erst mittels des Strafregisterauszugs von 2021 von dieser Verurteilung erfahren, da zum Zeitpunkt des Erlasses des Urteils niemand von seiner Familie in Syrien gewesen sei, um das Urteil entgegenzunehmen. Letzteres ist angesichts der geltend gemachten Ereignisse auch nachvollziehbar. Er gab bereits im erstinstanzlichen Verfahren an, dass seine Familie Syrien im Jahr 2013 verlassen habe (vgl. SEM-Akten A4 S. 5 und A19 F50 ff.). Es liegen demnach entschuldbare Gründe für die verspätete Einreichung des syrischen Strafregisterauszugs vor. Laut ebendiesem Strafregisterauszug, der keine offensichtlichen Fälschungsmerkmale aufweist, wurde der Gesuchsteller am (...) 2012 zu zehn Jahren Haft sowie zu harter Arbeit wegen Desertion vom Wehrdienst (was auch die Wehrdienstverweigerung umfasst) und Bedrohung der Staatssicherheit verurteilt. Dieses Strafmass könnte malusbehaftet sein (vgl. Referenzurteil des BVGer E-2188/2019 vom 30. Juni 2021 E. 6.2.2 m.w.H.), weshalb das mit dem Strafregisterauszug belegte syrische Urteil aufgrund des engen Zusammenhangs mit den Asylvorbringen des Gesuchstellers als erheblich zu qualifizieren ist. Das ordentliche Beschwerdeverfahren ist daher wiederaufzunehmen und die Asylvorbringen des Gesuchstellers sind neu zu beurteilen.</w:t>
      </w:r>
    </w:p>
    <w:p>
      <w:r>
        <w:rPr>
          <w:b/>
        </w:rPr>
        <w:t>E. 4</w:t>
      </w:r>
    </w:p>
    <w:p>
      <w:r>
        <w:t>Nach dem Gesagten erweist sich das Gesuch vom 20. Mai 2021 um Revision des Beschwerdeurteils E-1035/2017 vom 9. März 2017 als begründet. Das Revisionsgesuch ist gutzuheissen, das Urteil vom 9. März 2017 aufzuheben und das ordentliche Beschwerdeverfahren unter neuer Verfahrensnummer wiederaufzunehmen. Die im Verfahren E-1035/2017 bezahlten Verfahrenskosten in der Höhe von Fr. 600.- sind zurückzuerstatten.</w:t>
      </w:r>
    </w:p>
    <w:p>
      <w:r>
        <w:rPr>
          <w:b/>
        </w:rPr>
        <w:t>E. 5</w:t>
      </w:r>
    </w:p>
    <w:p>
      <w:r>
        <w:t>Bei diesem Ausgang des Verfahrens sind keine Kosten zu erheben (Art. 63 Abs. 1 und 2 VwVG).</w:t>
      </w:r>
    </w:p>
    <w:p>
      <w:r>
        <w:rPr>
          <w:b/>
        </w:rPr>
        <w:t>E. 6</w:t>
      </w:r>
    </w:p>
    <w:p>
      <w:r>
        <w:t>Dem vertretenen Gesuchsteller ist angesichts seines Obsiegens in Anwendung von Art. 64 VwVG und Art. 7 Abs. 1 des Reglements vom 21. Februar 2008 über die Kosten und Entschädigungen vor dem Bundesverwaltungsgericht (VGKE, SR 173.320.2) eine Entschädigung für die ihm im Zusammenhang mit dem Revisionsgesuch notwendigerweise erwachsenen Parteikosten zuzusprechen. Seitens der Rechtsvertretung wurde keine Kostennote zu den Akten gereicht, weshalb die notwendigen Parteikosten aufgrund der Akten zu bestimmen sind (Art. 14 Abs. 2 in fine VGKE). Die vom Bundesverwaltungsgericht an den Gesuchsteller auszurichtende Parteientschädigung ist in Anwendung der genannten Bestimmungen und unter Berücksichtigung der massgeblichen Bemessungsfaktoren von Amtes wegen auf insgesamt Fr. 800.-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