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E-2382/2011 vom 30. April 2012</w:t>
      </w:r>
    </w:p>
    <w:p>
      <w:r>
        <w:t>Bundesverwaltungsgericht, 2012-04-30, FR</w:t>
      </w:r>
    </w:p>
    <w:p>
      <w:r>
        <w:rPr>
          <w:b/>
        </w:rPr>
        <w:t xml:space="preserve">Quelle: </w:t>
      </w:r>
      <w:r>
        <w:t>https://mcp.opencaselaw.ch/entscheid/bvger_E-2382_2011</w:t>
      </w:r>
    </w:p>
    <w:p>
      <w:r>
        <w:t>FR: TAF E-2382/2011 du 30 avril 2012</w:t>
      </w:r>
    </w:p>
    <w:p>
      <w:r>
        <w:t>IT: TAF E-2382/2011 del 30 aprile 2012</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L'intéressé n'a pas recouru contre la décision de l'ODM du 24 mars 2011 en tant qu'elle rejette sa demande d'asile et prononce son renvoi, de sorte que sous cet angle, elle a acquis force de chose jugée ; l'examen de la cause se limite donc à la seule question de l'exécution du renvoi.</w:t>
      </w:r>
    </w:p>
    <w:p>
      <w:r>
        <w:rPr>
          <w:b/>
        </w:rPr>
        <w:t>E. 3.1</w:t>
      </w:r>
    </w:p>
    <w:p>
      <w:r>
        <w:t>L'exécution du renvoi est ordonnée si elle est licite, raisonnablement exigible et possible (cf. art. 44 al. 2 LAsi). Si ces conditions ne sont pas réunies, l'admission provisoire doit être prononcée. Celle-ci est réglée par l'art. 84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L'exécution du renvoi ne contrevient pas au principe de non-refoulement de l'art. 5 LAsi, l'ODM n'ayant pas reconnu la qualité de réfugié au recourant et celui-ci n'ayant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-par des mesures incompatibles avec la disposition en question (JICRA 1996 n° 18 consid. 14b let. ee p. 186s ; voir aussi Cour européenne des Droits de l'Homme, Affaire J.H. c. Royaume-Uni, requête n° 48839/09 §§ 50ss).</w:t>
      </w:r>
    </w:p>
    <w:p>
      <w:r>
        <w:rPr>
          <w:b/>
        </w:rPr>
        <w:t>E. 4.5</w:t>
      </w:r>
    </w:p>
    <w:p>
      <w:r>
        <w:t>En l'occurrence, le Tribunal relève que l'intéressé n'a fait l'objet d'aucune mesure de répression de la part des autorités afghanes. Selon ses déclarations, il aurait été victime d'une tentative d'enlèvement en vue d'obtenir une rançon de son père. A ce propos, le Tribunal relève que ses déclarations manquent singulièrement d'éléments substantiels suscep-tibles de démontrer qu'il y a, en cas de retour en Afghanistan, des raisons sérieuses d'admettre qu'il serait exposé à un risque réel de mauvais traitements prohibés par le droit international.</w:t>
      </w:r>
    </w:p>
    <w:p>
      <w:r>
        <w:rPr>
          <w:b/>
        </w:rPr>
        <w:t>E. 4.5.1</w:t>
      </w:r>
    </w:p>
    <w:p>
      <w:r>
        <w:t>Ainsi, selon les propos de l'intéressé, son père lui aurait interdit de fréquenter l'école durant un an et demi, craignant qu'il ne soit kidnappé (cf. procès-verbal du 28 avril 2010, p. 4 in fine/5). Il ne s'avère dès lors pas crédible que celui-ci lui ait pris le risque de lui confier la gestion de son magasin, situé à une trentaine de minutes à moto de son domicile, ainsi que sa fermeture, après le départ des employés.</w:t>
      </w:r>
    </w:p>
    <w:p>
      <w:r>
        <w:rPr>
          <w:b/>
        </w:rPr>
        <w:t>E. 4.5.2</w:t>
      </w:r>
    </w:p>
    <w:p>
      <w:r>
        <w:t>Les circonstances relatives à la tentative d'enlèvement ne se révèlent pas non plus crédibles : alors que les ravisseurs auraient pu intervenir dans un périmètre proche du magasin, il ne paraît pas vraisemblable qu'ils aient attendu de se trouver à proximité du domicile du recourant pour procéder à une tentative de rapt, ce d'autant moins que le quartier où vivait l'intéressé faisait "l'objet d'une importante surveillance policière" en raison de la présence de nombreuses ambassades étrangères (cf. recours de l'intéressé du 21 avril 2011, p. 3/4 ad ch. 5).</w:t>
      </w:r>
    </w:p>
    <w:p>
      <w:r>
        <w:rPr>
          <w:b/>
        </w:rPr>
        <w:t>E. 4.5.3</w:t>
      </w:r>
    </w:p>
    <w:p>
      <w:r>
        <w:t>Enfin, le recourant a déclaré que ses ravisseurs, des Talibans ou des malfaiteurs, étaient opposés au gouvernement, qu'ils n'en avaient pas peur et que celui-ci ne pouvait rien faire contre eux (cf. procès-verbal du 28 avril 2010, p. 8). Il ne paraît dès lors pas crédible que ses ravisseurs, censés n'éprouver aucune crainte à l'égard des autorités, aient pris la fuite à la seule vue de l'arrivée de deux policiers ce soir-là.</w:t>
      </w:r>
    </w:p>
    <w:p>
      <w:r>
        <w:rPr>
          <w:b/>
        </w:rPr>
        <w:t>E. 4.6</w:t>
      </w:r>
    </w:p>
    <w:p>
      <w:r>
        <w:t>Quant aux documents que l'intéressé a joints à son recours, le Tribunal relève qu'il s'agit d'articles de presse sans lien direct avec la tentative d'enlèvement dont il se prévaut. Concernant les autres pièces produites, soit celles annexées à sa lettre du 4 avril 2012, le Tribunal ne saurait leur attribuer quelque valeur probante que ce soit.</w:t>
      </w:r>
    </w:p>
    <w:p>
      <w:r>
        <w:rPr>
          <w:b/>
        </w:rPr>
        <w:t>E. 4.6.1</w:t>
      </w:r>
    </w:p>
    <w:p>
      <w:r>
        <w:t>S'agissant de l'attestation relative à l'admission de l'intéressé à l'hôpital, le Tribunal la considère comme dénué de valeur probante. En effet, force est de constater qu'elle mentionne des éléments de fait sans lien avec l'état de santé du recourant au moment de son entrée à l'hôpital. De surcroît, le Tribunal relève que l'attestation n'émane ni de l'hôpital ni d'une personne oeuvrant au sein du personnel hospitalier, mais de (...). Enfin, contrairement aux déclarations du recourant, ce document précise qu'il a perdu connaissance au moment de son arrivée à l'hôpital et non pas lors de sa tentative d'enlèvement (cf. procès-verbal du 28 janvier 2010, p. 7; voir également procès-verbal du 28 avril 2010, p. 5).</w:t>
      </w:r>
    </w:p>
    <w:p>
      <w:r>
        <w:rPr>
          <w:b/>
        </w:rPr>
        <w:t>E. 4.6.2</w:t>
      </w:r>
    </w:p>
    <w:p>
      <w:r>
        <w:t>Quant à "l'attestation de plainte pénale" qui aurait été déposée par le père de l'intéressé, le Tribunal relève que ce document est une lettre, non datée, adressée à (...) de Herat et estampillée par cette autorité à la date du 2 février 2011. Ce document ne s'avère pas non plus crédible dans la mesure où, censé émaner du père de l'intéressé, il est rédigé de façon impersonnelle ; de surcroît, au regard de son contenu, cette pièce ressemble non pas à une plainte pénale, mais à un compte rendu de faits décrits de manière imprécise qui se seraient déroulés dix-sept mois plus tôt. Partant, ce document ne saurait avoir de valeur probante.</w:t>
      </w:r>
    </w:p>
    <w:p>
      <w:r>
        <w:rPr>
          <w:b/>
        </w:rPr>
        <w:t>E. 4.6.3</w:t>
      </w:r>
    </w:p>
    <w:p>
      <w:r>
        <w:t>Concernant le document intitulé "attestation de témoins", le Tribunal observe qu'il s'agit d'un document rédigé à la demande de l'intéressé. Partant, cette pièce n'a, elle aussi, aucune valeur probante. De plus, elle ne saurait être considérée comme le compte rendu de "témoignages" dans la mesure où aucune des déclarations de l'intéressé ne fait état d'éventuels témoins de la tentative d'enlèvement dont il aurait fait l'objet (cf. procès-verbal du 28 janvier 2010, p. 7 ; voir également procès-verbal du 28 avril 2010, p. 5).</w:t>
      </w:r>
    </w:p>
    <w:p>
      <w:r>
        <w:rPr>
          <w:b/>
        </w:rPr>
        <w:t>E. 4.7</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En son arrêt du 16 juin 2011, le Tribunal a procédé à une analyse détaillée de la situation en Afghanistan (cf. ATAF 2011/7 consid. 9.3) et a abouti à la conclusion que la situation sécuritaire dans le pays s'est péjorée de façon généralisée au cours de ces dernières années, y compris dans les centres urbains et la ville de Kaboul (cf. ATAF cité consid. 9.7.5). Il en va de même concernant la situation humanitaire où il y a cependant lieu d'opérer une distinction entre les zones rurales et les zones urbaines. Si, dans leur grande majorité, les zones rurales connaissent une situation particulièrement précaire, celle prévalant à Kaboul s'avère meilleure, la situation sécuritaire s'y étant stabilisée au cours de ces dernières années (cf. ATAF cité consid. 9.8 - 9.9). Le Tribunal a considéré que l'exécution du renvoi vers Kaboul pouvait être raisonnablement exigée pour les jeunes hommes en bonne santé si les conditions strictes énoncées dans la JICRA 2003 n° 10 sont respectées. En particulier,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 Le Tribunal a laissé ouverte la question portant sur les villes de Herat et Mazar-e-Sharif (cf. ATAF cité consid. 9.9.1).</w:t>
      </w:r>
    </w:p>
    <w:p>
      <w:r>
        <w:rPr>
          <w:b/>
        </w:rPr>
        <w:t>E. 5.3</w:t>
      </w:r>
    </w:p>
    <w:p>
      <w:r>
        <w:t>Le Tribunal a analysé, dans un arrêt plus récent, la situation prévalant dans la ville de Herat (cf. ATAF D-2312/2009 du 28 octobre 2011 consid. 4.3.3).</w:t>
      </w:r>
    </w:p>
    <w:p>
      <w:r>
        <w:rPr>
          <w:b/>
        </w:rPr>
        <w:t>E. 5.3.1</w:t>
      </w:r>
    </w:p>
    <w:p>
      <w:r>
        <w:t>Selon cette jurisprudence, la situation dans la ville de Herat doit être considérée, à teneur de rapports récents, et ce, en comparaison avec d'autres villes afghanes, comme relativement calme. Certes, les activités des insurgés ont augmenté depuis 2009, à tout le moins dans dix arrondissements de la province de Herat, mais le nombre des attaques dans la ville est resté faible. Depuis le mois de juin 2011, aucune activité émanant des groupes armés de l'opposition n'a été signalée dans la ville. La responsabilité concernant la sécurité de la ville a été transférée, comme prévu, le 21 juillet 2011, par les forces internationales (International Security Assistance Force) aux troupes de sécurité afghanes et le processus de transfert devrait prendre fin au terme de l'année 2014. Cela exposé, les frappes et attaques enregistrées ont visé la plupart du temps les forces de sécurité afghanes et internationales tandis que les civils n'ont été touchés que très rarement et seulement par hasard.</w:t>
      </w:r>
    </w:p>
    <w:p>
      <w:r>
        <w:rPr>
          <w:b/>
        </w:rPr>
        <w:t>E. 5.3.2</w:t>
      </w:r>
    </w:p>
    <w:p>
      <w:r>
        <w:t>Sur la base de ces considérations, la situation dans la ville d'Herat a été considérée comme comparable à celle régnant à Kaboul (cf. ATAF D-2312/2009 consid. 4.3.3.1). Le caractère exigible de l'exécution d'un renvoi vers la ville de Herat doit être ainsi admis aux mêmes conditions que celles prévalant pour la ville de Kaboul.</w:t>
      </w:r>
    </w:p>
    <w:p>
      <w:r>
        <w:rPr>
          <w:b/>
        </w:rPr>
        <w:t>E. 5.4</w:t>
      </w:r>
    </w:p>
    <w:p>
      <w:r>
        <w:t>En l'espèce, il ne ressort du dossier aucun élément dont on pourrait inférer que l'exécution du renvoi à Herat impliquerait une mise en danger concrète du recourant. A cet égard, l'autorité de céans relève que le recourant est jeune, qu'il bénéficie d'une expérience professionnelle comme gérant de magasin spécialisé (...) et qu'il n'a pas allégué de problème de santé particulier. Il dispose d'un réseau familial important à Herat où vivent encore ses parents et ses soeurs. De plus, il doit être admis que sa famille a les moyens de l'aider, à tout le moins dans un premier temps, à se loger et à assurer le minimum nécessaire pour subvenir à ses propres besoins. En effet, selon les déclarations du recourant, son père possède beaucoup de biens, d'argent, de terrains et un commerce.</w:t>
      </w:r>
    </w:p>
    <w:p>
      <w:r>
        <w:rPr>
          <w:b/>
        </w:rPr>
        <w:t>E. 5.5</w:t>
      </w:r>
    </w:p>
    <w:p>
      <w:r>
        <w:t>Pour ces motifs, l'exécution du renvoi du recourant doit être considérée comme raisonnablement exigible.</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7</w:t>
      </w:r>
    </w:p>
    <w:p>
      <w:r>
        <w:t>Il s'ensuit que le recours, en tant qu'il conteste la décision de renvoi et son exécution, doit être également rejeté.</w:t>
      </w:r>
    </w:p>
    <w:p>
      <w:r>
        <w:rPr>
          <w:b/>
        </w:rPr>
        <w:t>E. 7.1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173.320.2).Compte tenu des circonstances particulières de l'espèce, il est exceptionnellement renoncé à leur perception (cf. art. 63 al. 1 i. f. PA). Dans ces conditions, la demande d'assistance judiciaire est devenue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