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E-2378/2013 vom 5. März 2015</w:t>
      </w:r>
    </w:p>
    <w:p>
      <w:r>
        <w:t>Bundesverwaltungsgericht, 2015-03-05, DE</w:t>
      </w:r>
    </w:p>
    <w:p>
      <w:r>
        <w:rPr>
          <w:b/>
        </w:rPr>
        <w:t xml:space="preserve">Quelle: </w:t>
      </w:r>
      <w:r>
        <w:t>https://mcp.opencaselaw.ch/entscheid/bvger_E-2378_2013</w:t>
      </w:r>
    </w:p>
    <w:p>
      <w:r>
        <w:t>FR: TAF E-2378/2013 du 5 mars 2015</w:t>
      </w:r>
    </w:p>
    <w:p>
      <w:r>
        <w:t>IT: TAF E-2378/2013 del 5 marzo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1.3</w:t>
      </w:r>
    </w:p>
    <w:p>
      <w:r>
        <w:t>Das Verfahren richtet sich nach dem VwVG, soweit das VGG und das AsylG nichts anderes bestimmen (Art. 37 VGG und Art. 6 AsylG).</w:t>
      </w:r>
    </w:p>
    <w:p>
      <w:r>
        <w:rPr>
          <w:b/>
        </w:rPr>
        <w:t>E. 1.4</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2.1</w:t>
      </w:r>
    </w:p>
    <w:p>
      <w:r>
        <w:t>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2.2</w:t>
      </w:r>
    </w:p>
    <w:p>
      <w:r>
        <w:t>Die blosse Flucht vor einer rechtsstaatlich legitimen Strafverfolgung im Heimatland bildet an sich keinen Grund für die Anerkennung der Flüchtlingseigenschaft und für die Asylgewährung. Ausnahmsweise kann aber die Durchführung eines Strafverfahrens wegen eines gemeinrechtlichen Delikts eine Verfolgung im asylrechtlichen Sinne darstellen. Dies trifft namentlich dann zu, wenn einer Person eine gemeinrechtliche Tat untergeschoben wird, um sie wegen ihrer äusseren oder inneren Merkmale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Sinne), wenn das Strafverfahren rechtsstaatlichen Ansprüchen klarerweise nicht genügt oder wenn der asylsuchenden Person in Form der Strafe oder im Rahmen der Strafverbüssung eine Verletzung fundamentaler Menschenrechte, insbesondere Folter, droht (vgl. BVGE 2013/25 E. 5.1 m.w.H.).</w:t>
      </w:r>
    </w:p>
    <w:p>
      <w:r>
        <w:rPr>
          <w:b/>
        </w:rPr>
        <w:t>E. 3</w:t>
      </w:r>
    </w:p>
    <w:p>
      <w:r>
        <w:t>Die Vorinstanz lehnte das Asylgesuch auf der Grundlage von Art. 3 AsylG ab. So könne aufgrund der geltend gemachten Tätigkeiten für die legale BDP respektive der Teilnahme des Beschwerdeführers an Kundgebungen und Anschlägen sowie aufgrund der ehemaligen Mitgliedschaft seines Bruders bei der PKK zwar nicht restlos ausgeschlossen werden, dass sich die Behörden bei seinen Eltern nach ihm erkundigt hätten. Dies genüge jedoch nicht für die Annahme einer begründeten Furcht vor zukünftiger asylrelevanter Verfolgung. So habe der Beschwerdeführer jedenfalls nicht geltend gemacht, in exponierter Stellung für die BDP tätig gewesen zu sein. Ausserdem habe er aufgrund der Vergangenheit seines Bruders bei der PKK, welcher seit über sechs Jahren in der Schweiz lebe, nie Probleme in diesem Zusammenhang geschildert. Die Polizisten hätten überdies keine schriftliche Vorladung für den Beschwerdeführer abgegeben. Diese Schlussfolgerung gelte nach wie vor, obschon auch die DTP als Nachfolgepartei der BDP mit Urteil des türkischen Verfassungsgerichts seit Dezember 2009 verboten sei. Mittlerweile sei die BDP formell legal tätig. Ähnlich wie bei den früheren Verboten der Vorgängerparteien DEHAP und HADEP hätten einfache Parteimitglieder wegen ihrer damals legal gewesenen politischen Betätigung für die DTP nicht mit einer nachträglichen strafrechtlichen Verfolgung oder mit sonstigen ernsthaften Nachteilen zu rechnen. Mithin seien die vom Beschwerdeführer geäusserten Befürchtungen als nicht asylrelevant zu qualifizieren.</w:t>
      </w:r>
    </w:p>
    <w:p>
      <w:r>
        <w:rPr>
          <w:b/>
        </w:rPr>
        <w:t>E. 4</w:t>
      </w:r>
    </w:p>
    <w:p>
      <w:r>
        <w:t>Der Beschwerdeführer moniert in seiner Beschwerde in erster Linie, das BFM habe die zentralen fluchtauslösenden Ausreisegründe nicht effektiv gewürdigt. Seine Vorbringen in Zusammenhang mit dem Anschlag auf die Bankfiliale in B._______ vom (...) und mit der politischen Vorgeschichte eines Exilengagements für die PKK im Rahmen von (...) seien zwar im Sachverhalt erwähnt, aber nicht angemessen gewürdigt worden. Damit macht er geltend, die Vorinstanz habe den rechtserheblichen Sachverhalt unvollständig und unrichtig abgeklärt; sie habe sein Asylgesuch so beschleunigt erledigt, dass sich der rechtserhebliche Sachverhalt nicht habe feststellen lassen und es ihm unmöglich gewesen sei, Beweismittel zu beschaffen. Zudem ergebe sich aus der unzureichenden Abklärung des rechtserheblichen Sachverhalts und der fehlenden Erwähnung und Würdigung des fluchtauslösenden Ereignisses (Suche nach dem Beschwerdeführer drei Tage nach dem Anschlag vom (...) eine Verletzung der Abklärungs- und Begründungspflicht.</w:t>
      </w:r>
    </w:p>
    <w:p>
      <w:r>
        <w:rPr>
          <w:b/>
        </w:rPr>
        <w:t>E. 5.1</w:t>
      </w:r>
    </w:p>
    <w:p>
      <w:r>
        <w:t>Im Asylverfahren ist der Sachverhalt grundsätzlich von Amtes wegen festzustellen (Art. 12 VwVG i.V.m. Art. 6 AsylG). Die behördliche Untersuchungspflicht wird durch die der asylsuchenden Person obliegende Mitwirkungspflicht (Art. 8 AsylG, Art. 13 VwVG) ergänzt und eingeschränkt, wobei diese namentlich ihre Identität offen legen, die Asylgründe vollständig nennen und alle verfüg- und beschaffbaren sachdienlichen Beweismittel einreichen muss. Die asylsuchende Person hat nicht nur die Pflicht zur Mitwirkung, sondern auch den Anspruch mitzuwirken, was sich unmittelbar aus dem Anspruch auf rechtliches Gehör ergibt. Im Rahmen der aus dem Gehörsanspruch folgenden behördlichen Begründungspflicht (Art. 35 Abs. 1 VwVG) hat die verfügende Behörde denn auch die Überlegungen substantiiert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Geschehnisse und Gegebenheiten (Urteilsgrundlagen) ermitteln, aus denen sich die Rechtsfolgen ergeben.</w:t>
      </w:r>
    </w:p>
    <w:p>
      <w:r>
        <w:rPr>
          <w:b/>
        </w:rPr>
        <w:t>E. 5.2</w:t>
      </w:r>
    </w:p>
    <w:p>
      <w:r>
        <w:t>Es ist festzuhalten, dass die BFM-Entscheidung innert sehr kurzer Zeit (nämlich 17 Tage nach der Kurzbefragung und 12 Tage nach der Anhörung) und ohne weitere behördliche Abklärungen getroffen worden ist, obwohl der Beschwerdeführer ausdrücklich weitere Abklärungen gewünscht (A9 F36) und weitere Beweismittel in Aussicht gestellt (A9 F28 und F36) hatte. Zudem ist festzustellen, dass die Anhörung vom 13. März 2013 gerademal 100 Minuten dauerte, inklusive Rückübersetzung. Beides führt jedoch nicht ohne Weiteres zur Feststellung, dass die Vor­instanz den rechtserheblichen Sachverhalt nicht vollständig und korrekt abgeklärt hat. Es ist aber darüber hinaus festzustellen, dass sie verschiedene Vorbringen des Beschwerdeführers unvollständig abgeklärt hat, so insbesondere bezüglich seines exilpolitischen Engagements während seiner Zeit in Deutschland und Belgien von 2001 bis 2003 (siehe oben E.f), des (angeblich) gegen ihn angehobenen Strafverfahrens in der Türkei (siehe oben H. und K.b) und einer möglichen Reflexverfolgung aufgrund seines Bruders, der als (...) und in der Schweiz Asyl erhalten hat.</w:t>
      </w:r>
    </w:p>
    <w:p>
      <w:r>
        <w:rPr>
          <w:b/>
        </w:rPr>
        <w:t>E. 5.3</w:t>
      </w:r>
    </w:p>
    <w:p>
      <w:r>
        <w:t>Die Vorinstanz hat zudem den Anspruch des Beschwerdeführers auf rechtliches Gehör verletzt, indem sie sich ungenügend mit seinen Vorbringen auseinandergesetzt und die angefochtene Verfügung ungenügend begründet hat. Insbesondere findet in der angefochtenen Verfügung keine genügende Auseinandersetzung mit dem Vorbringen des Beschwerdeführers statt, wonach er als Sympathisant der PKK und aus Protest gegen die türkische Regierung gehandelt habe, als er einen Molotow-Cocktail auf eine Filiale der (...) geworfen habe, und deshalb von den türkischen Behörden gesucht werde. In der ersten Vernehmlassung hat das BFM zwar geltend gemacht, es habe das Ereignis in der Verfügung erwähnt, in dem es von "Anschlägen" gesprochen habe, an denen der Beschwerdeführer teilgenommen habe. Damit ist die Vorinstanz indes der Bedeutung dieses Vorbringens innerhalb des Sachvortrags des Beschwerdeführers in keiner Weise gerecht geworden. Dieser stützte seine Befürchtungen, wieso er bei einer Rückkehr in die Türkei gefährdet sei, zu einem grossen Teil auf dieses Ereignis und die darauf erfolgten und drohenden Reaktionen der Behörden. Deshalb hätte sich die Vorinstanz ausführlicher damit beschäftigen und genauer begründen müssen, wieso sich daraus ihrer Meinung nach keine Gefahr für den Beschwerdeführer ergibt. Sie hat sich zudem nicht mit den früheren Aktivitäten des Beschwerdeführers in der Jugendbewegung der PKK auseinandergesetzt und ist nicht darauf eingegangen, ob sich aus der Kombination dieser beiden Elemente eine Gefahr für den Beschwerdeführer ergeben könnte.</w:t>
      </w:r>
    </w:p>
    <w:p>
      <w:r>
        <w:rPr>
          <w:b/>
        </w:rPr>
        <w:t>E. 6.1</w:t>
      </w:r>
    </w:p>
    <w:p>
      <w:r>
        <w:t>Das Bundesverwaltungsgericht entscheidet in der Regel reformatorisch, ausnahmsweise jedoch weist das Gericht die Sache mit verbindlichen Weisungen an die Vorinstanz zurück (Art. 61 Abs. 1 VwVG). Hat die Vorinstanz prozessuale Ansprüche der beschwerdeführenden Person verletzt, führt dies grundsätzlich zur Kassation der Verfügung und Rückweisung der Sache zu neuer Entscheidung an die Vorinstanz, obwohl unter bestimmten Umständen - bei bloss leichten Verletzungen der prozessualen Ansprüche - eine Heilung des Mangels in einem reformatorischen Entscheid möglich ist. Hat die Vorinstanz den Sachverhalt mangelhaft abgeklärt, kann das Bundesverwaltungsgericht ein reformatorisches Urteil fällen, wenn der Sachverhalt auf Beschwerdestufe umfassend abgeklärt werden konnte.</w:t>
      </w:r>
    </w:p>
    <w:p>
      <w:r>
        <w:rPr>
          <w:b/>
        </w:rPr>
        <w:t>E. 6.2</w:t>
      </w:r>
    </w:p>
    <w:p>
      <w:r>
        <w:t>Vorliegend rechtfertigt sich ein rein kassatorischer Entscheid und die Rückweisung der Sache an das SEM zur vollständigen Abklärung des Sachverhaltes und neuer Entscheidung aus mehreren Gründen.</w:t>
      </w:r>
    </w:p>
    <w:p>
      <w:r>
        <w:rPr>
          <w:b/>
        </w:rPr>
        <w:t>E. 6.2.1</w:t>
      </w:r>
    </w:p>
    <w:p>
      <w:r>
        <w:t>Erstens ist erst im Verfahren vor dem Bundesverwaltungsgericht ein grosser Teil des rechtserheblichen Sachverhaltes abgeklärt beziehungsweise bekanntgemacht worden, so dass der Beschwerdeführer im Falle einer reformatorischen Entscheidung des Bundesverwaltungsgerichts eine Beurteilungsinstanz verlieren würde. Zwar konnte sich die Vorinstanz während des Beschwerdeverfahrens in zwei Vernehmlassungen zum erweiterten Sachverhalt äussern. Jedoch hat sich der rechtserhebliche Sachverhalt im Beschwerdeverfahren in so relevanter Weise erweitert und vertieft, dass es angebracht erscheint, dem erstinstanzlich entscheidenden SEM Gelegenheit zu geben, sich umfassend mit den neuen Beweismitteln und Aussagen des Beschwerdeführers auseinanderzusetzen und in der Sache neu zu entscheiden. Insbesondere sind auf Beschwerdeebene bezüglich der folgenden Sachverhaltselemente neue Vorbringen und Eingaben erfolgt: - bezüglich seines angeblichen Mittäters H.D., der in Frankreich ein Asylverfahren hängig habe; - bezüglich dessen Aussage, weshalb er in seinem Asylverfahren den Anschlag auf die Bank verschwiegen habe; - bezüglich seiner zwei Asylverfahren in Deutschland und des Um­stands, dass er in dieser Zeit als kurdischer Aktivist der PKK geschult worden und als (...) tätig gewesen sei; - bezüglich des Umstandes, dass sein Bruder B.K. (...) gewesen und die Familie deswegen öfters unter Druck geraten sei und insbesondere mehrere Anschläge auf das Familienoberhaupt erfolgt seien; - bezüglich des Umstandes, dass die Sicherheitsdirektion des Landkrei­ses G._______ die Tatsache eines Anschlags militanter Angehöriger einer Organisation vom (...) auf die Filiale der (...) bestätigte; - bezüglich des Umstandes, dass der türkische Rechtsanwalt des Beschwerdeführers in Erfahrung gebracht habe, dass am 7. Mai 2014 die Oberstaatsanwaltschaft H._______ B._______ Ermittlungen gegen den Beschwerdeführer veranlasst habe.</w:t>
      </w:r>
    </w:p>
    <w:p>
      <w:r>
        <w:rPr>
          <w:b/>
        </w:rPr>
        <w:t>E. 6.3</w:t>
      </w:r>
    </w:p>
    <w:p>
      <w:r>
        <w:t>Zweitens sind die von der Vorinstanz begangenen Verletzungen des rechtlichen Gehörs als schwerwiegend einzustufen, hat sie sich doch mit dem zentralen Vorbringen des Beschwerdeführers, dem Anschlag auf die Bank und der daraus folgenden behördlichen Suche, nicht auseinandergesetzt. Zudem hat sie verschiedene Aspekte des Sachverhaltes nicht vollständig abgeklärt, was ebenfalls für eine Kassation spricht.</w:t>
      </w:r>
    </w:p>
    <w:p>
      <w:r>
        <w:rPr>
          <w:b/>
        </w:rPr>
        <w:t>E. 6.4</w:t>
      </w:r>
    </w:p>
    <w:p>
      <w:r>
        <w:t>Drittens macht der Beschwerdeführer in der Beschwerdeschrift zu Recht geltend, dass der angefochtenen Verfügung die Namen der unterzeichnenden Mitarbeiterinnen oder Mitarbeiter des BFM nicht entnommen werden können. Aus dem verfassungsmässigen Grundsatz von Art. 29 Abs. 1 BV ergibt sich jedoch, dass eine Person in einem Verwaltungsverfahren Anspruch auf gleiche und gerechte Behandlung und somit Anspruch auf eine rechtmässig zusammengesetzte, zuständige und unbefangene Behörde hat. Dieser Anspruch beziehungsweise die Berufung darauf setzt die Bekanntgabe der Namen der für die Behörde tätigen Personen voraus.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auch dann gewahrt, wenn diese einer allgemein zugänglichen Publikation wie etwa in einem amtlichen Blatt, einem Staatskalender oder einem Rechenschaftsbericht der Behörde entnommen werden können. Die verantwortlichen Personen müssen mithin wenn nicht bestimmt so doch bestimmbar sein. Die Bekanntgabe der Besetzung muss so früh wie möglich, spätestens aber im Rubrum mit dem Entscheid erfolgen (vgl. die Urteile des Bundesverwaltungsgerichts A-4174/2007 vom 27. März 2008 und D-2335/2013 vom 8. April 2014 E. 3.4 m.H.a. die Rechtsprechung des Bundesgerichts und die Literatur). Vorliegend ist nicht ersichtlich, wie es dem Beschwerdeführer hätte möglich sein sollen, die Namen der Personen zu erfahren, die die Verfügung unterzeichnet haben. Aufgrund der unleserlichen Unterschriften, die zudem "i.V." und "i.A." erfolgten, der vorgedruckten Funktionsbezeichnungen als "Fachreferent" und "Chef" sowie des auf der Verfügung notierten Kürzels "Snm" können die entsprechenden Namen weder aus den vor-instanzlichen Akten noch aus öffentlich zugänglichen Quellen eruiert werden, zumal die Vorinstanz diesen Mangel auch in ihren Vernehmlassungen nicht geheilt hat. Da der Anspruch auf gleiche und gerechte Behandlung und der Anspruch auf eine rechtmässig zusammengesetzte, zuständige und unbefangene Behörde formeller Natur ist, ist die vorliegende Verfügung auch aus diesem Grund zu kassieren.</w:t>
      </w:r>
    </w:p>
    <w:p>
      <w:r>
        <w:rPr>
          <w:b/>
        </w:rPr>
        <w:t>E. 6.5</w:t>
      </w:r>
    </w:p>
    <w:p>
      <w:r>
        <w:t>Aus all diesen Gründen ist die angefochtene Verfügung aufzuheben und die Sache zur vollständigen und korrekten Abklärung des rechtserheblichen Sachverhaltes und Neubeurteilung an das SEM zurückzuweisen. Das SEM hat dabei alle vom Beschwerdeführer im Beschwerdeverfahren gemachten Aussagen und die eingereichten Beweismittel zu würdigen. Zudem hat es den Beschwerdeführer erneut anzuhören und ihm Gelegenheit zu geben, sich umfassend zu äussern. Soweit notwendig hat das SEM auch weitere eigene Abklärungen vorzunehmen. Schliesslich hat das SEM sich bei seiner Beurteilung und gegebenenfalls bei der Begründung eines erneut abweisenden Entscheides mit folgenden, in der angefochtenen Verfügung nicht oder ungenügend abgehandelten Punkten auseinanderzusetzen: Ergibt sich aus den Handlungen des Bruders des Beschwerdeführers die Gefahr einer Reflexverfolgung für Letzteren? Ist im Umstand der Nähe des Beschwerdeführers zur PKK respektive zu (...) und in der Begehung des Anschlags auf staatliche Einrichtungen vom (...) ein Asylausschlussgrund im Sinne von Art. 53 AsylG zu erblicken? Der Antrag, das SEM sei anzuweisen, dem Beschwerdeführer eine Frist zur Beschaffung und Einreichung weiterer Beweismittel anzusetzen, ist abzuweisen, da er während des Beschwerdeverfahrens genügend Zeit hatte, alle relevanten Beweismittel einzureichen, und diese vom Gericht zusammen mit dem vorliegenden Urteil an das SEM übermittelt werden.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11. September 2014 angeführte Aufwand (49,02 Stun­den à Fr. 240.- und Fr. 159.- Auslagen) erscheint übertrieben, zumal sich der Rechtsvertreter in seinen Zuschriften und Unterlagen nicht auf Konzises und Notwendiges beschränkte (vgl. Art. 8 Abs. 2 VGKE). Ausserdem ist ein Akteneinsichtsgesuch an die Vorinstanz nicht zu entschädigen. Ausgehend von den 45 Seiten umfassenden Eingaben dürfte der erforderliche und zu entschädigende Arbeitsaufwand zwischen 20 und 25 Stunden liegen. Dem Beschwerdeführer ist daher zulasten des SEM eine Parteientschädigung von Fr. 6000.-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