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E-2378/2010 vom 19. Mai 2010</w:t>
      </w:r>
    </w:p>
    <w:p>
      <w:r>
        <w:t>Bundesverwaltungsgericht, 2010-05-19, FR</w:t>
      </w:r>
    </w:p>
    <w:p>
      <w:r>
        <w:rPr>
          <w:b/>
        </w:rPr>
        <w:t xml:space="preserve">Quelle: </w:t>
      </w:r>
      <w:r>
        <w:t>https://mcp.opencaselaw.ch/entscheid/bvger_E-2378_2010</w:t>
      </w:r>
    </w:p>
    <w:p>
      <w:r>
        <w:t>FR: TAF E-2378/2010 du 19 mai 2010</w:t>
      </w:r>
    </w:p>
    <w:p>
      <w:r>
        <w:t>IT: TAF E-2378/2010 del 19 maggio 2010</w:t>
      </w:r>
    </w:p>
    <w:p>
      <w:pPr>
        <w:pStyle w:val="Heading2"/>
      </w:pPr>
      <w:r>
        <w:t>Regeste</w:t>
      </w:r>
    </w:p>
    <w:p>
      <w:r>
        <w:t>Asile et renvoi</w:t>
      </w:r>
    </w:p>
    <w:p>
      <w:pPr>
        <w:pStyle w:val="Heading2"/>
      </w:pPr>
      <w:r>
        <w:t>Erwägungen</w:t>
      </w:r>
    </w:p>
    <w:p>
      <w:r>
        <w:rPr>
          <w:b/>
        </w:rPr>
        <w:t>E. 1.1</w:t>
      </w:r>
    </w:p>
    <w:p>
      <w:r>
        <w:t>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La procédure est régie par la PA, pour autant que la LTAF n'en dispose pas autrement (art. 37 LTAF).</w:t>
      </w:r>
    </w:p>
    <w:p>
      <w:r>
        <w:rPr>
          <w:b/>
        </w:rPr>
        <w:t>E. 1.2</w:t>
      </w:r>
    </w:p>
    <w:p>
      <w:r>
        <w:t>A._______ a qualité pour recourir (art. 48 al. 1 PA). Présenté dans la forme (art. 52 PA) et le délai (art. 50 PA et 108 al. 1 LAsi) prescrits par la loi, son recours est recevable.</w:t>
      </w:r>
    </w:p>
    <w:p>
      <w:r>
        <w:rPr>
          <w:b/>
        </w:rPr>
        <w:t>E. 2.1</w:t>
      </w:r>
    </w:p>
    <w:p>
      <w:r>
        <w:t>Aux termes de l'art. 63 al. 2 LAsi, l'office révoque l'asile si le réfugié a porté atteinte à la sécurité intérieure ou extérieure de la Suisse, s'il les compromet ou s'il a commis des actes délictueux particulièrement répréhensibles. Il convient donc d'examiner en l'occurrence si les actes commis par l'intéressé sont (ou non) particulièrement répréhensibles au sens de cette disposition.</w:t>
      </w:r>
    </w:p>
    <w:p>
      <w:r>
        <w:rPr>
          <w:b/>
        </w:rPr>
        <w:t>E. 2.2</w:t>
      </w:r>
    </w:p>
    <w:p>
      <w:r>
        <w:t>Dans sa jurisprudence publiée sous Jurisprudence et informations de la Commission de recours en matière d'asile [JICRA] 2003 no 11 [consid. 7 p. 75], qui est toujours d'actualité malgré l'entrée en vigueur, au 1er janvier 2007, de l'actuel art. 10 du code pénal suisse (cf. arrêt du Tribunal E-13/2008 consid. 6.3 et 6.4 [p. 7s.] du 28 mai 2009), l'ancienne Commission de recours en matière d'asile (ci-après, la Commission) a détaillé les conditions autorisant l'ODM à révoquer l'asile, respectivement à retirer la qualité de réfugié. Elle a tout d'abord rappelé que, de pratique constante, étaient considérés comme actes répréhensibles conduisant au refus de l'asile pour cause d'indignité (art. 53 LAsi), les actes correspondant à la définition abstraite de « crime », contenue dans l'ancien art. 9 du code pénal. Elle a poursuivi en posant que les actes « particulièrement répréhensibles » selon l'art. 63 al. 2 LAsi devaient, qualitativement, se situer à un échelon plus élevé (« eine Stufe höher ») que les actes répréhensibles au sens de l'art. 53 LAsi. La doctrine, reprise par la jurisprudence précitée, a ainsi considéré que l'on se trouve en présence d'un acte délictueux particulièrement répréhensible lorsque ce dernier est, d'une part, susceptible d'entraîner le prononcé d'une peine particulièrement lourde et qu'il atteint, d'autre part, une certaine intensité (cf. Walter Stöckli, Asyl, dans : Peter Uebersax/Peter Münch/Thomas Geiser/Martin Arnold (éd), Ausländerrecht, Handbücher für die Anwaltspraxis, vol. VIII, Bâle, 2e ed. 2009 p. 343 no 8.63). Dans cette même jurisprudence, la Commission a précisé que, pour déterminer si des actes sont répréhensibles selon l'art. 53 LAsi, ou particulièrement répréhensibles au sens de l'art. 63 al. 2 LAsi, il y a lieu de respecter le principe de proportionnalité. D'après celui-ci (cf. P. Moor, Droit administratif, vol. II, 2e éd., Berne 2002, p. 102), l'autorité doit prendre la mesure qui, en fonction du but visé, porte l'atteinte la plus faible aux intérêts de l'administré, et, lorsqu'il s'agit de sanctionner un comportement, doit se fonder sur la gravité objective de la violation ainsi que sur celle de la faute. L'élément objectif inclut l'intérêt public au respect de la loi et intègre par conséquent un effet de prévention générale. Subjectivement, les antécédents de l'administré sont également pris en considération, de même que les répercussions entraînées sur sa situation par la mesure de l'autorité (ibid.).</w:t>
      </w:r>
    </w:p>
    <w:p>
      <w:r>
        <w:rPr>
          <w:b/>
        </w:rPr>
        <w:t>E. 3</w:t>
      </w:r>
    </w:p>
    <w:p>
      <w:r>
        <w:t>En l'occurrence, A._______ s'est vu infliger trois condamnations pénales successives (dont la plus récente remonte au 9 décembre 2009 ; cf. let. C supra) totalisant 55 mois de privation de liberté, pour maintes infractions incluant en particulier la mise en danger de la vie d'autrui, le vol, l'abus de confiance, et l'escroquerie, qui sont punissables de cinq ans de privation de liberté (cf. art. 129, 139 al. 1, 138 al. 1, resp. 146 al. 1 du code pénal suisse [CPS, RS 311.0]). De tels actes constituent ainsi des crimes selon l'actuel art. 10 al. 2 CPS et, partant, entrent dans la catégorie des actes répréhensibles et particulièrement répréhensibles analysés dans la jurisprudence de la Commission (cf. consid. 2 supra et arrêt susmentionné du Tribunal E-13/2008 consid. 6.4 [p. 8] du 28 mai 2009). A l'appui de son recours (cf. mémoire du 9 avril 2010, p. 8 à 10), l'intéressé tente certes d'atténuer la gravité de ses actes délictueux en faisant valoir que ses dernières infractions portant atteinte à l'intégrité physique de tiers ont été commises le 12 mars 2004, alors qu'il était encore très jeune et se trouvait fortement sous l'emprise de l'alcool. Il ajoute avoir depuis lors mûri et vécu des expériences personnelles lui ayant permis de se construire en tant qu'adulte et de prendre des décisions positives pour son avenir. En l'espèce, pareille relativisation ne peut être admise. En effet, loin de s'amender et de saisir la chance offerte par le Tribunal d'arrondissement de Lausanne dans son premier jugement du 30 mars 2006 (cf. p. 22, 1er parag.) lui octroyant un sursis de cinq ans, A._______ a poursuivi ses activités délictueuses et a été condamné à 27, respectivement 10 mois de peine privative de liberté, en dates du 18 septembre 2008, puis du 9 décembre 2009 (cf. let. C b/c supra). Par sa violation grave de la LStup (cf. condamnation du 18 septembre 2008 et let C/b supra), le recourant, contrairement à ses affirmations (cf. parag. précéd. et son mémoire du 9 avril 2010, p. 9), ne s'est d'ailleurs pas contenté de commettre de nouvelles infractions contre le patrimoine mais a aussi porté atteinte aux personnes en mettant notamment leur santé en danger. Compte tenu de la répétition et de la gravité des infractions commises dans un laps de temps rapproché (cf. let. C supra), le Tribunal n'est pas convaincu par l'allégation de l'intéressé, selon laquelle celui-ci aurait pleinement compris le caractère inacceptable et répréhensible de ses actes (cf. let. B/b et D supra). Une telle déclaration apparaît au demeurant d'autant moins plausible qu'elles émane in casu d'une personne condamnée à trois, respectivement deux reprises, pour abus de confiance et escroquerie (cf. let. C supra). Au regard de l'ensemble des circonstances, le Tribunal juge que la décision entreprise ne porte pas une atteinte telle aux intérêts privés de A._______ qu'elle heurterait le principe de proportionnalité. Les autres éléments dont le recourant s'est prévalu pour contester la révocation d'asile, telles que la violation de l'art. 8 al. 1 CEDH, la durée de son séjour en Suisse, ses attaches familiales dans ce pays, ou encore, l'absence de proches comme de perspectives professionnelles en Bosnie-et-Herzégovine, n'ont pas à être examinés plus avant, dès lors que le présent arrêt ne porte pas sur la question de la qualité de réfugié (dont l'intéressé demeure titulaire), ni ne préjuge de la situation juridique du recourant en matière de droit des étrangers.</w:t>
      </w:r>
    </w:p>
    <w:p>
      <w:r>
        <w:rPr>
          <w:b/>
        </w:rPr>
        <w:t>E. 4</w:t>
      </w:r>
    </w:p>
    <w:p>
      <w:r>
        <w:t>Dans ces conditions, la décision querellée doit être confirmée et le recours rejeté, par le juge unique, avec l'approbation d'un second juge (art. 111 let. e LAsi), vu son caractère manifestement infondé. Le présent arrêt, rendu sans échange d'écritures, est sommairement motivé (art. 111a LAsi).</w:t>
      </w:r>
    </w:p>
    <w:p>
      <w:r>
        <w:rPr>
          <w:b/>
        </w:rPr>
        <w:t>E. 5</w:t>
      </w:r>
    </w:p>
    <w:p>
      <w:r>
        <w:t>A._______, ayant succombé, doit prendre les frais judiciaires à sa charge (art. 63 al. 1 PA et art.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