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E-2377/2015 vom 19. April 2016</w:t>
      </w:r>
    </w:p>
    <w:p>
      <w:r>
        <w:t>Bundesverwaltungsgericht, 2016-04-19, DE</w:t>
      </w:r>
    </w:p>
    <w:p>
      <w:r>
        <w:rPr>
          <w:b/>
        </w:rPr>
        <w:t xml:space="preserve">Quelle: </w:t>
      </w:r>
      <w:r>
        <w:t>https://mcp.opencaselaw.ch/entscheid/bvger_E-2377_2015</w:t>
      </w:r>
    </w:p>
    <w:p>
      <w:r>
        <w:t>FR: TAF E-2377/2015 du 19 avril 2016</w:t>
      </w:r>
    </w:p>
    <w:p>
      <w:r>
        <w:t>IT: TAF E-2377/2015 del 19 aprile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zur Beschwerdeführung legitimiert (Art. 48 VwVG). Auf die frist- und formgerecht eingereichte Beschwerde ist einzutreten (Art. 52 VwVG und Art. 108 Abs. 1 AsylG).</w:t>
      </w:r>
    </w:p>
    <w:p>
      <w:r>
        <w:rPr>
          <w:b/>
        </w:rPr>
        <w:t>E. 1.2</w:t>
      </w:r>
    </w:p>
    <w:p>
      <w:r>
        <w:t>Die Beschwerde richtet sich gegen eine Verfügung, mit der die Einreise in die Schweiz zwecks Durchführung eines Asylverfahrens nicht bewilligt wird. Gegenstand der Verfügung ist somit die Einreisebewilligung, die verweigert wird. Das Bundesverwaltungsgericht kann nur überprüfen, ob die Vorinstanz die Einreise zur Recht oder Unecht nicht bewilligt hat.</w:t>
      </w:r>
    </w:p>
    <w:p>
      <w:r>
        <w:rPr>
          <w:b/>
        </w:rPr>
        <w:t>E. 2.1</w:t>
      </w:r>
    </w:p>
    <w:p>
      <w:r>
        <w:t>Mit Beschwerde kann die Verletzung von Bundesrecht und die unrichtige oder unvollständige Feststellung des rechtserheblichen Sachverhalts gerügt werden (Art. 106 Abs. 1 AsylG; zur Frage der Auswirkung der Streichung von Art. 106 Abs. 1 Bst. a aAsylG auf das Beschwerdeverfahren in Ausland-Asylverfahren, vgl. BVGE 2015/2 E. 4 ff.).</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3.2</w:t>
      </w:r>
    </w:p>
    <w:p>
      <w:r>
        <w:t>Gemäss Art. 20 Abs. 2 aAsylG bewilligt das Staatssekretariat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 Vertretungen ermächtigen, Asylsuchenden die Einreise zu bewilligen, die glaubhaft machen, dass eine unmittelbare Gefahr für Leib und Leben oder für die Freiheit aus einem Grund nach Art. 3 Abs. 1 AsylG bestehe.</w:t>
      </w:r>
    </w:p>
    <w:p>
      <w:r>
        <w:rPr>
          <w:b/>
        </w:rPr>
        <w:t>E. 3.3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w:t>
      </w:r>
    </w:p>
    <w:p>
      <w:r>
        <w:t>Die Vorinstanz hat in tatsächlicher und rechtlicher Hinsicht den Massstab der Schutzbedürftigkeit nicht verkannt und auf den vorliegenden Fall korrekt angewendet. Die Beschwerde zeigt nicht auf, inwiefern die angefochtene Verfügung Bundesrecht verletzen oder den Sachverhalt rechtsfehlerhaft feststellen soll. Solches ist auch nicht ersichtlich. So geht die Vorinstanz zutreffend davon aus, dass eine unmittelbare Gefahr für Leib, Leben oder Freiheit in Somalia - insbesondere in Mogadischu - nicht dargetan ist (Art. 20 Abs. 2 aAsylG und Art. 3 Abs. 1 AsylG). Alle Beschwerdeführenden wurden in Mogadischu geboren (z. B. SEM-Akten, B10, S. 3) und haben dort mindestens bis im Jahr 2012 gelebt. Die älteste Beschwerdeführerin ist in Mogadischu in ärztlicher Behandlung (SEM-Akten, B10, Beilage 2). Gemäss Gesuch vom 27. März 2012 (SEM-Akten, B1, S. 3) und Schreiben vom 19. Dezember 2012 (SEM-Akten, B3, S. 2) leben die Beschwerdeführenden in Mogadischu. Mit Schreiben vom 20. März 2014 werden die Angaben korrigiert und gesagt, die Beschwerdeführenden seien bereits nach dem Tod der Grossmutter (30. Januar 2012) von Mogadischu weggezogen (SEM-Akten, B10, S. 3). Aus nicht nachvollziehbaren Gründen wollen die Beschwerdeführenden nach F._______ gezogen sein. Es steht jedenfalls - sofern überhaupt notwendig - einem Umzug zurück nach Mogadischu nichts entgegen. Die Tatsache, dass einer der Beschwerdeführenden im Jahr 2014 nach Mogadischu reisen konnte, um einen Pass ausstellen zu lassen, und eine der Beschwerdeführenden ebenfalls im Jahr 2014 zwecks ärztlicher Behandlung in Mogadischu war (Arztbericht des Keysaney General Hospital in Mogadischu, SEM-Akten, B10, Beilage 2), zeigt, dass die Beschwerdeführenden nicht auf die Hilfe anderer angewiesen und äusserst selbstständig sind. Im Übrigen leben alle fünf Geschwister zusammen und stehen sich offensichtlich gegenseitig - seit dem Tod der Grossmutter vor über drei Jahren - hilfreich zur Seite. Die Behauptung, sie seien völlig "auf sich alleine gestellt" (statt vieler SEM-Akten, B10, S. 2), ist nicht glaubhaft. Sodann kann die geltend gemachte Genitalverstümmelung keine Schutzbedürftigkeit im Sinne von Art. 3 AsylG begründen, da der Schutz des Asylrechts nicht als Ausgleich eines erlittenen Übels dient. Massgebend ist der Zeitpunkt der Einreisebewilligung und erlittene Nachteile sind nur insofern beachtlich, als sie noch andauern (statt vieler Urteil BVGer D-5502/2014 vom 1. Juni 2015 E. 6.6), was sich hier - neben den üblichen Folgen der Genitalverstümmelung - nicht annehmen lässt. Was die vorgebrachte Furcht vor Zwangsheirat anbelangt, ist diese zu wenig substantiiert dargetan. Hinzu kommt, dass die beiden Beschwerdeführerinnen zusammen mit drei männlichen Beschwerdeführern zusammenleben, mithin nicht schutzlos alleine leben. Sie berufen sich vergeblich auf BVGE 2014/27, weil die Beschwerdeführinnen zusammen mit ihren drei männlichen Geschwistern leben. Die Ausführungen zu den angeblichen Problemen mit der Al-Shabaab hat die Vorinstanz zu Recht als unglaubhaft erachtet. Um Wiederholungen zu vermeiden, ist auf die zutreffenden Ausführungen der Vorinstanz zu verweisen. Schliesslich ist festzuhalten, dass die Beschwerdeführenden ihren in der Schweiz lebenden, angeblichen Vater seit mindestens zehn Jahren nicht mehr gesehen haben. Es besteht zwar eine gewisse Bindung zur Schweiz, diese überwiegt jedoch in der Gesamtbetrachtung nicht. An der Zumutbarkeit ändern auch die entsprechenden Beschwerdeausführungen zur Lage in Somalia nichts (dazu BVGE 2013/27). Den Beschwerdeführenden ist ein weiterer Verbleib in Somalia zumutbar und sie sind nicht angewiesen auf den Schutz der Schweiz. Der Sachverhalt ist vollständig abgeklärt, weshalb eine Zurückweisung der Sache an die Vorinstanz ausser Betracht fällt. Die Vorinstanz hat zu Recht die Einreise in die Schweiz nicht bewilligt und das Asylgesuch aus dem Ausland abgelehnt.</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6.2</w:t>
      </w:r>
    </w:p>
    <w:p>
      <w:r>
        <w:t>Bei diesem Ausgang des Verfahrens wären folglich die Kosten von Fr. 600.-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