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E-2376/2015 vom 16. Juli 2015</w:t>
      </w:r>
    </w:p>
    <w:p>
      <w:r>
        <w:t>Bundesverwaltungsgericht, 2015-07-16, DE</w:t>
      </w:r>
    </w:p>
    <w:p>
      <w:r>
        <w:rPr>
          <w:b/>
        </w:rPr>
        <w:t xml:space="preserve">Quelle: </w:t>
      </w:r>
      <w:r>
        <w:t>https://mcp.opencaselaw.ch/entscheid/bvger_E-2376_2015</w:t>
      </w:r>
    </w:p>
    <w:p>
      <w:r>
        <w:t>FR: TAF E-2376/2015 du 16 juillet 2015</w:t>
      </w:r>
    </w:p>
    <w:p>
      <w:r>
        <w:t>IT: TAF E-2376/2015 del 16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erweist sich im Ergebnis als offensichtlich begründet und ist im Verfahren einzelrichterlicher Zuständigkeit mit Zustimmung eines zweiten Richters (Art. 111 Bst. e AsylG) und summarischer Begründung zu behandeln (Art. 111a Abs. 2 AsylG).</w:t>
      </w:r>
    </w:p>
    <w:p>
      <w:r>
        <w:rPr>
          <w:b/>
        </w:rPr>
        <w:t>E. 3</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der Änderung war das Folgegesuch des Beschwerdeführers noch nicht hängig, weshalb das Asylgesetz in der aktuellen Fassung vom 14. Dezember 2012 zur Anwendung kommt. Ob ein Folgegesuch im Asylverfahren als Wiedererwägungsgesuch oder als zweites Asylgesuch zu behandeln ist, richtet sich danach, welchen Teil der ursprünglichen Verfügung die begehrte Neubeurteilung betrifft. 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(BVGE 2014/39 E. 4.5; BVGE 2013/22 E. 5.4; EMARK 2006 Nr. 20 E. 2). Vor Vorinstanz machte der Beschwerdeführer geltend, er sei nach wie vor der festen Überzeugung, er erfülle die Asyleigenschaften. Dieses Vorbringen betrifft die Frage der Anerkennung der Flüchtlingseigenschaft und der Asylgewährung gemäss Art. 3 AsylG, so dass die Vorinstanz das Gesuch zu Recht als Mehrfachgesuch gemäss Art. 111c AsylG entgegengenommen hat.</w:t>
      </w:r>
    </w:p>
    <w:p>
      <w:r>
        <w:rPr>
          <w:b/>
        </w:rPr>
        <w:t>E. 4.1</w:t>
      </w:r>
    </w:p>
    <w:p>
      <w:r>
        <w:t>Gemäss Art. 111c AsylG hat die Eingabe bei Asylgesuchen, die innert fünf Jahren nach Eintritt der Rechtskraft des Asyl- und Wegweisungsentscheides eingereicht werden, schriftlich und begründet zu erfolgen. Die Nichteintretensgründe nach Artikel 31a Absätze 1-3 finden Anwendung (Abs. 1). Unbegründete oder wiederholt gleich begründete Mehrfachgesuche werden formlos abgeschrieben (Abs. 2).</w:t>
      </w:r>
    </w:p>
    <w:p>
      <w:r>
        <w:rPr>
          <w:b/>
        </w:rPr>
        <w:t>E. 4.2</w:t>
      </w:r>
    </w:p>
    <w:p>
      <w:r>
        <w:t>Der Beschwerdeführer begründete sein zweites Gesuch vom 7. April 2014 einzig damit, eine Rückkehr in seine Heimat sei unter keinen Umständen zumutbar. Er ersuchte die Vorinstanz, das mit diesem Schreiben erneut unterbreitete Asylgesuch wohlwollend zu prüfen und ihn allenfalls nochmals zu einem Interview (scil. Anhörung) einzuladen. Das Mehrfachgesuch erfüllt die gesetzlichen Formvorschriften offensichtlich nicht (Art. 111c Abs. 1 AsylG), weil es ihm an der erforderlichen Begründungsdichte fehlt (BVGE 2014/39 E. 5.3).</w:t>
      </w:r>
    </w:p>
    <w:p>
      <w:r>
        <w:rPr>
          <w:b/>
        </w:rPr>
        <w:t>E. 4.3</w:t>
      </w:r>
    </w:p>
    <w:p>
      <w:r>
        <w:t>Die Vorinstanz hat das unbegründete Mehrfachgesuch jedoch nicht formlos abgeschrieben, sondern ist darauf eingetreten und hat im Dispositiv einen ablehnenden Sachentscheid gefällt. Wenn ein Folgegesuch (Mehrfachgesuch [Art. 111c AsylG] oder Wiedererwägungsgesuch [Art. 111b AsylG]) eingereicht wird, hat die Vorinstanz das Gesuch einer gesetzlichen Erledigungsform zuzuführen. Dabei hat sie folgende Möglichkeiten: Sie kann auf das Mehrfachgesuch nicht eintreten (Art. 111c Abs.1 AsylG i.V.m. Art. 31a Abs. 1-3 AsylG), auf das Gesuch eintreten und einen Sachentscheid durch Ablehnung des Asylgesuch oder Asylgewährung fällen (vgl. Art. 49 AsylG; Art. 31a Abs. 4 AsylG) oder ein unbegründetes oder wiederholt gleich begründetes Asylgesuch formlos abschreiben (Art. 111c Abs. 2 AsylG). Wenn sie auf das Gesuch eintritt, dann muss sie den Sachentscheid auch entsprechend begründen. Zur Begründung ihres ablehnenden Sachentscheides führt die Vorinstanz aus, der Beschwerdeführer habe sein erstes Asylgesuch vom 16. August 2010 aus freiem Willen, ohne jeglichen Zwang und ohne jegliche Nötigung zurückgezogen habe. Ihm sei bekannt gewesen, dass eine Bewilligung B keinen zeitlich unbegrenzten Aufenthalt und keinen Schutz vor Verfolgung gewährleiste. Zudem habe er in seiner Verzichtserklärung vom 23. August 2011 davon Kenntnis genommen, dass auf ein allfällig neues Asylgesuch grundsätzlich nicht mehr eingetreten werde. Das mag zutreffen. Aber die Vorinstanz ist auf das zweite Asylgesuch eingetreten und hat im Dispositiv Anordnungen getroffen (namentlich: Feststellung der fehlenden Flüchtlingseigenschaft, Ablehnung des Asylgesuchs, Wegweisung aus der Schweiz). Zu diesen Anordnungen fehlt jegliche Begründung in der angefochtenen Verfügung. Entweder ist die Vorinstanz ihrer Begründungspflicht nicht nachgekommen (Art. 35 Abs. 1 VwVG; BVGE 2009/35 E. 6.4.1) oder sie hat die falsche Erledigungsform gewählt. Beides verletzt Bundesrecht.</w:t>
      </w:r>
    </w:p>
    <w:p>
      <w:r>
        <w:rPr>
          <w:b/>
        </w:rPr>
        <w:t>E. 5</w:t>
      </w:r>
    </w:p>
    <w:p>
      <w:r>
        <w:t>Die Beschwerde ist deshalb gutzuheissen und die Sache zu neuern Entscheidung der Vorinstanz zurückzuweisen. Auch nach der Rückweisung hat sie die Möglichkeit, das Mehrfachgesuch formlos abzuschreiben (Art. 111c Abs. 2 AsylG).</w:t>
      </w:r>
    </w:p>
    <w:p>
      <w:r>
        <w:rPr>
          <w:b/>
        </w:rPr>
        <w:t>E. 6.1</w:t>
      </w:r>
    </w:p>
    <w:p>
      <w:r>
        <w:t>Bei diesem Ausgang des Verfahrens sind dem Beschwerdeführer keine Verfahrenskosten aufzuerlegen (Art. 63 Abs. 1 VwVG). Der dem Bundesverwaltungsgericht einbezahlte Kostenvorschuss im Umfang von Fr. 600.- ist dem Beschwerdeführer zurückzuerstatten.</w:t>
      </w:r>
    </w:p>
    <w:p>
      <w:r>
        <w:rPr>
          <w:b/>
        </w:rPr>
        <w:t>E. 6.2</w:t>
      </w:r>
    </w:p>
    <w:p>
      <w:r>
        <w:t>Dem nicht vertretenen Beschwerdeführer sind keine notwendige und verhältnismässig hohe Kosten entstanden (Art. 64 VwVG), weshalb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