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E-2371/2016 vom 27. April 2016</w:t>
      </w:r>
    </w:p>
    <w:p>
      <w:r>
        <w:t>Bundesverwaltungsgericht, 2016-04-27, FR</w:t>
      </w:r>
    </w:p>
    <w:p>
      <w:r>
        <w:rPr>
          <w:b/>
        </w:rPr>
        <w:t xml:space="preserve">Quelle: </w:t>
      </w:r>
      <w:r>
        <w:t>https://mcp.opencaselaw.ch/entscheid/bvger_E-2371_2016</w:t>
      </w:r>
    </w:p>
    <w:p>
      <w:r>
        <w:t>FR: TAF E-2371/2016 du 27 avril 2016</w:t>
      </w:r>
    </w:p>
    <w:p>
      <w:r>
        <w:t>IT: TAF E-2371/2016 del 27 aprile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un requérant d'asile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arrêt E-641/2014 du 13 mars 2015 consid. 5.4 [non publié dans ATAF 2015/9]).</w:t>
      </w:r>
    </w:p>
    <w:p>
      <w:r>
        <w:rPr>
          <w:b/>
        </w:rPr>
        <w:t>E. 1.5</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 Kneubühler, Prozessieren vor dem Bundesverwaltungsgericht, 2ème éd., 2013, no 1.55, p. 25; Kölz/Häner/Bertschi,Verwaltungsverfahren und Verwaltungsrechtspflege des Bundes, 3ème éd., 2013, n° 1136, p. 398; voir aussi Clémence Grisel, L'obligation de collaborer des parties en procédure administrative, 2008, p. 57, 76 et 82s.).</w:t>
      </w:r>
    </w:p>
    <w:p>
      <w:r>
        <w:rPr>
          <w:b/>
        </w:rPr>
        <w:t>E. 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l'espèce, le recourant se plaint d'abord d'un établissement inexact ou incomplet de l'état de fait pertinent par le SEM. Il ne démontre toutefois pas en quoi le SEM aurait établi l'état de fait pertinent de manière inexacte ou incomplète. En particulier, il ne démontre pas qu'il existe des rapports généraux et concordants émanant de sources fiables faisant état de déficiences systémiques dans le système d'asile et d'accueil des requérants d'asile en Croatie ni que le SEM a omis de les prendre en considération. En particulier, d'après le rapport d'AIDA de décembre 2015 auquel il se réfère, les requérants d'asile en Croatie sont hébergés depuis septembre 2015 dans le centre d'accueil pour demandeurs d'asile sis à Kutina, où les conditions sanitaires sont satisfaisantes, mais l'accès aux soins médicaux limité. Le rapport d'AIDA du 12 mars 2016, auquel le recourant se réfère également, dénonce une limitation, depuis novembre 2015, par la Croatie de l'accès à son territoire aux seuls Syriens, Afghans, et Irakiens, réputés nécessiter une protection. Il dénonce également une certaine inertie dans le système de réception mis en place par ce pays, qui n'a pas augmenté le nombre de centres d'accueil de requérants d'asile en dépit de l'afflux de migrants, avec une capacité totale de 700 places en 2015, signe d'un manque de préparation d'un plan d'urgence avant la "crise des réfugiés", mais aussi d'une volonté limitée d'apporter des changements structurels afin de développer un système d'asile adapté aux futures entrées et transferts en provenance d'Etats Dublin. Contrairement à l'argumentation du recourant, il ne ressort pas de ce dernier rapport que les ressortissants sri-lankais se voient refuser l'accès à une procédure d'asile en Croatie. Cela étant, il ne ressort pas de ces rapports que les migrants ayant déposé une demande d'asile en Croatie et les demandeurs d'asile transférés dans ce pays sur la base du RD III n'y ont pas accès à un examen sérieux du bien-fondé de leurs demandes d'asile et à des prestations minimales d'accueil. L'état de fait a été établi à satisfaction par le SEM.</w:t>
      </w:r>
    </w:p>
    <w:p>
      <w:r>
        <w:rPr>
          <w:b/>
        </w:rPr>
        <w:t>E. 4.1</w:t>
      </w:r>
    </w:p>
    <w:p>
      <w:r>
        <w:t>Le recourant fait principalement valoir que l'exécution de son renvoi en Croatie viole le principe de non-refoulement ancré notamment à l'art. 3 CEDH et qu'il appartient donc au SEM d'examiner sa demande d'asile en procédure nationale.</w:t>
      </w:r>
    </w:p>
    <w:p>
      <w:r>
        <w:rPr>
          <w:b/>
        </w:rPr>
        <w:t>E. 4.2</w:t>
      </w:r>
    </w:p>
    <w:p>
      <w:r>
        <w:t>La Croatie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Il n'existe pas de nombreuses informations et rapports concordants, émanant de sources fiables, faisant état de pratiques des autorités croates ou tolérées par celles-ci en matière d'asile et d'accueil des requérants d'asile, qui seraient comparables aux défaillances systémiques de la procédure d'asile et des conditions d'accueil des demandeurs d'asile admises en ce qui concerne la Grèce, et manifestement contraires aux principes de la CEDH (cf. CourEDH, arrêt du 21 janvier 2011, M.S.S. c. Belgique et Grèce, requête no 30696/09). Comme déjà dit (cf. consid. 3 ci-avant), il ne ressort aucunement des rapports auxquels se réfère le recourant que les migrants ayant demandé l'asile en Croatie et les demandeurs d'asile transférés vers ce pays sur la base du RD III, en particulier les ressortissants sri-lankais, n'y auraient pas accès à un examen sérieux du bien-fondé de leurs demandes d'asile et à des prestations minimales d'accueil. L'art. 3 par. 2 al. 2 RD III n'est donc pas applicable à la Croatie (dans le même sens, cf. arrêts du Tribunal E-1819/2016 du 29 mars 2016, D-1611/2016 du 22 mars 2016 consid. 4.3, E 101/2016 du 21 janvier 2016). En l'absence d'une pratique avérée dans cet Etat de violation systématique des normes minimales de l'Union européenne concernant la procédure d'asile et les conditions d'accueil des demandeurs d'asile, celui-ci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précité, par. 352 s.). Cette présomption peut être renversée par des indices sérieux que, dans le cas concret, les autorités de cet Etat ne respecteraient pas le droit international (cf. ATAF 2010/45 consid. 7.4 et 7.5).</w:t>
      </w:r>
    </w:p>
    <w:p>
      <w:r>
        <w:rPr>
          <w:b/>
        </w:rPr>
        <w:t>E. 4.3</w:t>
      </w:r>
    </w:p>
    <w:p>
      <w:r>
        <w:t>L'appréciation du SEM, selon laquelle cette présomption n'a pas été renversée en l'espèce, en l'absence d'indices sérieux laissant présager que les autorités croates ne respecteraient pas leurs obligations internationales à l'égard du recourant, doit être confirmée. Le recourant, désireux de rejoindre la Suisse, n'a fait que transiter par la Croatie, sans chercher à y déposer de demande d'asile. Il n'a donc, de toute évidence, pas eu à pâtir jusqu'à présent de défaillances ni de la procédure d'asile ni des conditions d'accueil des requérants d'asile en Croatie, et les autorités croates n'ont jusqu'à présent pas failli à leurs obligations internationales à son égard. Il ne saurait valablement se plaindre devant les autorités suisses d'une violation par les autorités croates d'un droit à un recours effectif garanti par l'art. 13 CEDH, alors même qu'il n'a introduit aucune procédure d'asile dans ce pays. En outre, le recourant se plaint de troubles d'ordre psychique, sans précision. Il se borne à annoncer la production d'un certificat sitôt qu'il aura eu l'occasion de consulter un médecin. Dans ces conditions, il n'a pas établi se trouver dans un état de santé critique, et est censé être apte à voyager. En outre, rien n'indique qu'en l'absence d'une prise en charge médicale, il subirait une dégradation imminente et importante de son état de santé. De surcroît, dans l'hypothèse où il serait atteint de sérieux troubles psychiatriques, il pourrait avoir accès en cas de retour en Croatie à un traitement essentiel, selon les standards locaux. Contrairement à ce qu'il cherche à faire admettre, le contraire ne ressort pas du rapport d'AIDA de décembre 2015 (cf. dans le même sens, arrêt du Tribunal D-1611/2016 du 22 mars 2016 consid. 4.6). Dans ces conditions, il n'y a pas de circonstances très exceptionnelles, comme celles qui étaient réunies dans l'affaire D. c. Royaume-Uni (arrêt de la CourEDH du 2 mai 1997, requête no 30240/96), et il n'y a pas lieu d'admettre que le transfert du recourant en Croatie l'expose à un risque suffisamment réel et imminent de difficultés assez graves, du point de vue de ses conditions de vie matérielles et de sa santé, pour tomber sous le coup de l'art. 3 CEDH. S'il devait être contraint par les circonstances à mener une existence non conforme à la dignité humaine ou s'il devait estimer que la Croatie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4.4</w:t>
      </w:r>
    </w:p>
    <w:p>
      <w:r>
        <w:t>Au vu de ce qui précède, le grief de violation de l'art. 3 CEDH est mal fondé. Le SEM n'était pas tenu par les obligations de la Suisse relevant du droit international public de renoncer au transfert du recourant vers la Croatie et d'examiner lui-même sa demande d'asile.</w:t>
      </w:r>
    </w:p>
    <w:p>
      <w:r>
        <w:rPr>
          <w:b/>
        </w:rPr>
        <w:t>E. 5</w:t>
      </w:r>
    </w:p>
    <w:p>
      <w:r>
        <w:t>Enfin, le SEM n'a commis ni excès ni abus de son large pouvoir d'appréciation en refusant d'admettre l'existence de raisons humanitaires au sens de l'art. 29a al. 3 OA 1 en combinaison avec l'art. 17 par. 1 RD III (cf. ATAF 2015/9), nonobstant la préférence du recourant de voir sa demande d'asile examinée en Suisse. Le RD III ne lui confère pas le droit de choisir l'Etat membre où il a déposé sa demande d'asile offrant à son avis de meilleures conditions d'accueil comme Etat membre responsable de l'examen de celle-ci (cf. ATAF 2010/45 consid. 8.3).</w:t>
      </w:r>
    </w:p>
    <w:p>
      <w:r>
        <w:rPr>
          <w:b/>
        </w:rPr>
        <w:t>E. 6</w:t>
      </w:r>
    </w:p>
    <w:p>
      <w:r>
        <w:t>Au vu de ce qui précède, la décision du SEM de non-entrée en matière sur la demande d'asile du recourant, de renvoi de celui-ci de Suisse vers la Croatie, et d'exécution de cette mesure, est conforme au droit et ne repose pas sur un établissement inexact ou incomplet des faits pertinents (cf. art. 106 al. 1 LAsi). Le recours s'avère mal fondé, ce qui conduit à son rejet.</w:t>
      </w:r>
    </w:p>
    <w:p>
      <w:r>
        <w:rPr>
          <w:b/>
        </w:rPr>
        <w:t>E. 7</w:t>
      </w:r>
    </w:p>
    <w:p>
      <w:r>
        <w:t>Il est renoncé à un échange d'écritures (cf. art. 111a al. 1 LAsi).</w:t>
      </w:r>
    </w:p>
    <w:p>
      <w:r>
        <w:rPr>
          <w:b/>
        </w:rPr>
        <w:t>E. 8</w:t>
      </w:r>
    </w:p>
    <w:p>
      <w:r>
        <w:t>Les conclusions du recours n'ayant pas été d'emblée vouées à l'échec et l'indigence du recourant étant établie, la demande d'assistance judiciaire partielle doit être admise (cf. art. 65 al.1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