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E-2371/2015 vom 3. November 2015</w:t>
      </w:r>
    </w:p>
    <w:p>
      <w:r>
        <w:t>Bundesverwaltungsgericht, 2015-11-03, DE</w:t>
      </w:r>
    </w:p>
    <w:p>
      <w:r>
        <w:rPr>
          <w:b/>
        </w:rPr>
        <w:t xml:space="preserve">Quelle: </w:t>
      </w:r>
      <w:r>
        <w:t>https://mcp.opencaselaw.ch/entscheid/bvger_E-2371_2015</w:t>
      </w:r>
    </w:p>
    <w:p>
      <w:r>
        <w:t>FR: TAF E-2371/2015 du 3 novembre 2015</w:t>
      </w:r>
    </w:p>
    <w:p>
      <w:r>
        <w:t>IT: TAF E-2371/2015 del 3 novembre 2015</w:t>
      </w:r>
    </w:p>
    <w:p>
      <w:pPr>
        <w:pStyle w:val="Heading2"/>
      </w:pPr>
      <w:r>
        <w:t>Regeste</w:t>
      </w:r>
    </w:p>
    <w:p>
      <w:r>
        <w:t>Familiennachzug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casu endgültig (Art. 83 Bst. c Ziff. 1 und 3 BGG).</w:t>
      </w:r>
    </w:p>
    <w:p>
      <w:r>
        <w:rPr>
          <w:b/>
        </w:rPr>
        <w:t>E. 1.2</w:t>
      </w:r>
    </w:p>
    <w:p>
      <w:r>
        <w:t>Das Verfahren richtet sich nach dem VwVG und dem VGG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Abs. 1 und Art. 52 Abs. 1 VwVG). Auf die Beschwerde ist einzutreten.</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In Konkretisierung dieser Bestimmung sieht Art. 74 der Verordnung vom 24. Oktober 2007 über Zulassung, Aufenthalt und Erwerbstätigkeit (VZAE, SR 142.201)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Entsteht das Familienverhältnis erst nach Ablauf der gesetzlichen Fristen von Art. 85 Abs. 7 AuG, beginnen diese Fristen zu diesem späteren Zeitpunkt zu laufen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Für Familienangehörige vorläufig aufgenommener Flüchtlinge gilt Art. 37 der Asylverordnung 1 vom 11. August 1999 (AsylV1, SR 142.311) sinngemäss (Abs. 5).</w:t>
      </w:r>
    </w:p>
    <w:p>
      <w:r>
        <w:rPr>
          <w:b/>
        </w:rPr>
        <w:t>E. 4</w:t>
      </w:r>
    </w:p>
    <w:p>
      <w:r>
        <w:t>Vorliegend ist unbestritten, dass die in Art. 85 Abs. 7 AuG vorgesehene dreijährige Karenzfrist - der Beschwerdeführer wurde am 1. Februar 2011 als Flüchtling in der Schweiz vorläufig aufgenommen - inzwischen abgelaufen ist. Ebenso ist die fünfjährige Frist nach Art. 74 Abs. 3 VZAE, innert welcher nach Ablauf der Karenzfrist das Gesuch um Familiennachzug bei der zuständigen Behörde deponiert werden muss, mit Gesuch vom 13. August 2014 eingehalten (wobei vorliegend zu berücksichtigen ist, dass der Beschwerdeführer die Ehe mit seiner Frau am (...) März 2014 einging). Ferner hielt das SEM - anders als noch in der angefochtenen Verfügung - in seiner Vernehmlassung vom 14. Juli 2015 fest, dass die Voraussetzung des Vorliegens einer bedarfsgerechten Wohnung als erfüllt zu betrachten sei. Das Gesuch um Familiennachzug sei dennoch abzuweisen, da die Voraussetzung gemäss Art. 85 Abs. 7 Bst. c AuG - die Familie dürfe nicht auf Sozialhilfe angewiesen sein - vorliegend nicht erfüllt sei beziehungsweise ein monatliches Defizit von Fr. 84.- hinsichtlich der Deckung des Grundbedarfs bestehe. Das Bundesverwaltungsgericht kommt in Übereinstimmung mit der Vorin-stanz zum Schluss, dass aufgrund der Aktenlagen die beiden inhaltlichen Voraussetzungen für einen Familiennachzug gemäss Art. 85 Abs. 7 Bst. a und b AuG (Wille des Zusammenwohnens, Vorhandensein einer bedarfsgerechten Wohnung) als erfüllt zu betrachten sind. Im Rahmen des vorliegenden Verfahrens ist demnach einzig der Frage nachzugehen, ob das SEM das Gesuch um Familiennachzug zu Recht wegen Nichterfüllens der fehlenden Sozialhilfeabhängigkeit abgewiesen hat.</w:t>
      </w:r>
    </w:p>
    <w:p>
      <w:r>
        <w:rPr>
          <w:b/>
        </w:rPr>
        <w:t>E. 5.1</w:t>
      </w:r>
    </w:p>
    <w:p>
      <w:r>
        <w:t>Die Bewilligung des Familiennachzugs setzt namentlich voraus, dass die nachgezogenen Familienangehörigen im Fall eines Nachzugs nicht auf Sozialhilfe angewiesen sind. Damit soll verhindert werden, dass die nachgezogenen Angehörigen von der öffentlichen Fürsorge abhängig werden. Da die finanziellen Mittel für die wirtschaftliche und persönliche Selbständigkeit der Teilhabe am Arbeits- sowie Sozialleben und damit letztlich für die Integration genügen sollen, muss nicht nur das betreibungsrechtliche Existenzminimum, sondern vielmehr das soziale Existenzminimum gesichert sein. Daher geht die Praxis bei der Berechnung der für den Familiennachzug notwendigen Mittel von den Richtlinien der Schweizerischen Konferenz für Sozialhilfe (SKOS) aus. Berücksichtigt werden dabei sämtliche Eigenmittel wie z.B. Erwerbseinkommen, allfällige Unterhaltszahlungen, Sozialversicherungsleistungen, Vermögenserträge usw. Ein künftiges Erwerbseinkommen des nachzuziehenden Ehepartners kann dann berücksichtigt werden, wenn bereits eine Stelle zugesichert wurde (vgl. Silvia Hunziker in: Martina Caroni/Thomas Gächter/Daniela Thurnherr [Hrsg.], Bundesgesetz über die Ausländerinnen und Ausländer, Bern 2010, N 24 zu Art. 85, N 12-13 zu Art. 44).</w:t>
      </w:r>
    </w:p>
    <w:p>
      <w:r>
        <w:rPr>
          <w:b/>
        </w:rPr>
        <w:t>E. 5.2</w:t>
      </w:r>
    </w:p>
    <w:p>
      <w:r>
        <w:t>Die Vorinstanz geht trotz angepasster kantonaler Berechnung weiterhin von einem Fehlbetrag von Fr. 84.- aus. Dieser Ansicht ist aus den nachstehenden Gründen nicht zu folgen. Der Beschwerdeführer ist erwerbstätig und erhält einen Bruttolohn von Fr. 3'900.- zuzüglich 13. Monatslohn, dessen Auszahlung monatlich erfolgt (vgl. Arbeitsvertrag vom (...) Mai 2015); demnach ist von einem Bruttolohn von Fr. 4'225.- auszugehen. Hinzu kommt gemäss eigenen Angaben noch ein Trinkgeld von monatlich Fr. 100.- bis 120.-. Das Gericht sieht keine Veranlassung, an einem Trinkgeld in diesem Umfang zu zweifeln. Der Betrag ist demnach in die Berechnung des Einkommens miteinzubeziehen. Aufgrund der Festanstellung, welche dem Beschwerdeführer ein fixes Einkommen garantiert, sowie der aktuellen finanziellen Verhältnisse (gemäss Kontoauszug verfügte er per 31. Oktober 2014 über ein Vermögen von immerhin Fr. 7'508.88) ist mithin von einer stabilen wirtschaftlichen Situation auszugehen. Sodann ist dem Beschwerdeführer beizupflichten, dass nicht ersichtlich ist, weshalb die Vorinstanz (respektive das Migrationsamt) von Aufwendungen für die Krankenkasse von rund Fr. 610.- ausgeht. Der eingereichten Krankenkassenpolice ist zu entnehmen, dass er monatlich lediglich Prämien von Fr. 181.70 bezahlt, wobei für die Ehefrau eine Prämie in ähnlicher Höhe zu erwarten ist und allfällige Prämienverbilligungen nicht auszuschliessen sind. Die weiter geltend gemachte Mietzinsreduktion infolge des gesunkenen Referenzzinssatzes erscheint nicht abwegig. Da jedoch eine tatsächliche Herabsetzung nicht belegt wurde, kann eine solche bei den vorliegenden Berechnungen nicht berücksichtigt werden, ist jedoch für den Ausgang des Verfahrens nicht relevant. Somit kann aufgrund der bestehenden Akten angenommen werden, dass im Falle des Familiennachzugs eine Fürsorgeabhängigkeit mit hinreichender Wahrscheinlichkeit auszuschliessen ist und der Beschwerdeführer den Grundbedarf für sich und seine Ehefrau mit seinem Einkommen selber bestreiten kann. Ein Fehlbetrag - wie vom SEM angenommen - ist demnach nicht ersichtlich.</w:t>
      </w:r>
    </w:p>
    <w:p>
      <w:r>
        <w:rPr>
          <w:b/>
        </w:rPr>
        <w:t>E. 5.3</w:t>
      </w:r>
    </w:p>
    <w:p>
      <w:r>
        <w:t>Folglich sind im vorliegenden Fall sämtliche in Art. 85 Abs. 7 AuG genannten, kumulativ zu erfüllenden Voraussetzungen für den Familiennachzug gegeben. Ausschlussgründe für einen Einbezug ergeben sich aus den Akten nicht.</w:t>
      </w:r>
    </w:p>
    <w:p>
      <w:r>
        <w:rPr>
          <w:b/>
        </w:rPr>
        <w:t>E. 5.4</w:t>
      </w:r>
    </w:p>
    <w:p>
      <w:r>
        <w:t>Unter diesen Umständen ist auf die Rügen, die Verweigerung der Familienzusammenführung verletze das Recht auf Familienleben gemäss Art. 8 EMRK, nicht mehr einzugehen.</w:t>
      </w:r>
    </w:p>
    <w:p>
      <w:r>
        <w:rPr>
          <w:b/>
        </w:rPr>
        <w:t>E. 6</w:t>
      </w:r>
    </w:p>
    <w:p>
      <w:r>
        <w:t>Die Beschwerde ist nach dem Gesagten gutzuheissen und die angefochtene Verfügung vom 31. März 2015 aufzuheben. Das SEM ist anzuweisen, die Einreise von B._______ zu bewilligen und sie nach erfolgter Einreise in die vorläufige Aufnahme ihres Ehemannes einzuschliessen (Art. 85 Abs. 7 AuG).</w:t>
      </w:r>
    </w:p>
    <w:p>
      <w:r>
        <w:rPr>
          <w:b/>
        </w:rPr>
        <w:t>E. 7.1</w:t>
      </w:r>
    </w:p>
    <w:p>
      <w:r>
        <w:t>Bei diesem Ausgang des Verfahrens sind keine Verfahrenskosten aufzuerlegen (Art. 63 Abs. 1 und 2 VwVG).</w:t>
      </w:r>
    </w:p>
    <w:p>
      <w:r>
        <w:rPr>
          <w:b/>
        </w:rPr>
        <w:t>E. 7.2</w:t>
      </w:r>
    </w:p>
    <w:p>
      <w:r>
        <w:t>Dem vertretenen Beschwerdeführer ist angesichts seines Obsiegens eine Parteientschädigung für die ihm notwendigerweise erwachsenen Kosten zuzusprechen (Art. 64 Abs. 1 VwVG und Art. 16 Abs. 1 Bst. a VGG i.V.m. Art. 7 des Reglements vom 21. Februar 2008 über die Kosten und Entschädigungen vor dem Bundesverwaltungsgericht [VGKE, SR 173.320.2]). Die Rechtsvertretung hat keine Kostennote eingereicht. Gestützt auf die in Betracht zu ziehenden Bemessungsfaktoren (Art. 7-13 VGKE) lässt sich der Vertretungsaufwand jedoch aufgrund der Akten hinreichend zuverlässig abschätzen (vgl. Art. 14 VGKE) und ist auf insgesamt Fr. 600.-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