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E-2362/2016 vom 22. April 2016</w:t>
      </w:r>
    </w:p>
    <w:p>
      <w:r>
        <w:t>Bundesverwaltungsgericht, 2016-04-22, DE</w:t>
      </w:r>
    </w:p>
    <w:p>
      <w:r>
        <w:rPr>
          <w:b/>
        </w:rPr>
        <w:t xml:space="preserve">Quelle: </w:t>
      </w:r>
      <w:r>
        <w:t>https://mcp.opencaselaw.ch/entscheid/bvger_E-2362_2016</w:t>
      </w:r>
    </w:p>
    <w:p>
      <w:r>
        <w:t>FR: TAF E-2362/2016 du 22 avril 2016</w:t>
      </w:r>
    </w:p>
    <w:p>
      <w:r>
        <w:t>IT: TAF E-2362/2016 del 22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Italien sei für die Durchführung des Asyl- und Wegweisungsverfahrens zuständig. In Italiens Asyl- und Aufnahmesystem würden keine systemischen Mängel vorliegen. Für einen Selbsteintritt der Schweiz aus humanitären Gründen würden keine Gründe vorliegen. Es würden keine Hinweise für eine Verletzung von Art. 3 EMRK bestehen.</w:t>
      </w:r>
    </w:p>
    <w:p>
      <w:r>
        <w:rPr>
          <w:b/>
        </w:rPr>
        <w:t>E. 4.2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4.2.1</w:t>
      </w:r>
    </w:p>
    <w:p>
      <w:r>
        <w:t>Die Vorinstanz hat aufgrund der Aussagen des Beschwerdeführers und des Eurodac-Treffers zu Recht die Zuständigkeit Italiens erkannt und die italienischen Behörden - gestützt auf Art. 13 Abs. 1 Dublin-III-VO - um Übernahme ersucht. Italien hat der Übernahme des Beschwerdeführers explizit zugestimmt, womit die grundsätzliche Zuständigkeit Italiens für die Durchführung des Asyl- und Wegweisungsverfahrens feststeht. Die Ausführungen des Beschwerdeführers vermögen die Schlussfolgerung der Vor­instanz nicht umzustossen oder in Frage zu stellen.</w:t>
      </w:r>
    </w:p>
    <w:p>
      <w:r>
        <w:rPr>
          <w:b/>
        </w:rPr>
        <w:t>E. 4.2.2</w:t>
      </w:r>
    </w:p>
    <w:p>
      <w:r>
        <w:t>Der Beschwerdeführer bringt vor, im Asyl- und Aufnahmesystem Italiens würden systemische Mängel vorliegen. Eine Überstellung des Beschwerdeführers verletze die EMRK sowie die EU-Grundrechts-Charta.</w:t>
      </w:r>
    </w:p>
    <w:p>
      <w:r>
        <w:rPr>
          <w:b/>
        </w:rPr>
        <w:t>E. 4.2.3</w:t>
      </w:r>
    </w:p>
    <w:p>
      <w:r>
        <w:t>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systemischen Mängel an Unterstützung und Einrichtungen für Asylsuchende fest (vgl. Urteil EGMR vom 2. April 2013, Mohammed Hussein und andere gegen Niederlande, Nr. 27725/10, siehe zu Italien auch Urteil EGMR vom 30. Juni 2015 A.S. gegen Schweiz, Nr. 39350/13). Es liegen keine Anhaltspunkte dafür vor, dass Italien im vorliegenden Fall seine staatsvertraglichen Verpflichtungen missachten würde und der Beschwerdeführer einer menschenunwürdigen oder erniedrigenden Behandlung ausgesetzt wäre (Art. 3 EMRK). Bezüglich der in der Beschwerde vorgebrachten unsubstantiierten Behauptung, er werde in Italien mit an Sicherheit grenzender Wahrscheinlichkeit inhaftiert, finden sich in den Akten keine Anhaltspunkte; Art. 3 Abs. 2 Satz 2 Dublin-III-VO greift nicht. Im Übrigen handelt es sich beim Beschwerdeführer nicht um eine besonders verletzliche Person, sondern um einen gesunden jungen Mann, weshalb auch keine vorgängigen Garantien einzuholen sind, wie es bei Familien mit minderjährigen Kindern gegenwärtig der Fall ist. Aus dem eingereichten Zeitungsartikel kann der Beschwerdeführer nichts zu seinen Gunsten ableiten.</w:t>
      </w:r>
    </w:p>
    <w:p>
      <w:r>
        <w:rPr>
          <w:b/>
        </w:rPr>
        <w:t>E. 4.2.4</w:t>
      </w:r>
    </w:p>
    <w:p>
      <w:r>
        <w:t>Der Beschwerdeführer äussert weiter allgemeine Kritik an der Rechtsprechung der Vorinstanz sowie des Bundesverwaltungsgerichts, ohne eine Bundesrechtsverletzung auch nur ansatzweise darzutun. Aus diesem Grund ist auf die diesbezüglichen Beschwerdevorbringen nicht weiter einzugehen.</w:t>
      </w:r>
    </w:p>
    <w:p>
      <w:r>
        <w:rPr>
          <w:b/>
        </w:rPr>
        <w:t>E. 4.3</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Für eine Rückweisung der Sache zur Neubeurteilung an die Vorinstanz besteht kein Anlass. Die Beschwerde ist abzuweisen. Mit dem vorliegenden Urteil ist der Antrag auf Gewährung der aufschiebenden Wirkung sowie der Antrag, die Vollzugsbehörden seien anzuweisen, von Vollzugshandlungen abzusehen, gegenstandslos geworden.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sowie dem Gesuch um Beiordnung eines amtlichen Rechtsbeistandes nicht stattgegeben werden.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