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E-2362/2012 vom 20. November 2012</w:t>
      </w:r>
    </w:p>
    <w:p>
      <w:r>
        <w:t>Bundesverwaltungsgericht, 2012-11-20, FR</w:t>
      </w:r>
    </w:p>
    <w:p>
      <w:r>
        <w:rPr>
          <w:b/>
        </w:rPr>
        <w:t xml:space="preserve">Quelle: </w:t>
      </w:r>
      <w:r>
        <w:t>https://mcp.opencaselaw.ch/entscheid/bvger_E-2362_2012</w:t>
      </w:r>
    </w:p>
    <w:p>
      <w:r>
        <w:t>FR: TAF E-2362/2012 du 20 novembre 2012</w:t>
      </w:r>
    </w:p>
    <w:p>
      <w:r>
        <w:t>IT: TAF E-2362/2012 del 20 novembre 2012</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applicable par le renvoi de l'art. 105 LAsi, le Tribunal administratif fédéral (ci-après, le Tribunal)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devant le Tribunal, conformément à l'art. 33 let. d LTAF. Elle n'entrent pas dans le champ d'exclusion de l'art. 32 LTAF. Le Tribunal statue définitivement sur de telles causes, sauf demande d'extradition déposée par l'Etat dont le requérant cherche à se protéger (art. 83 let. d ch. 1 de la loi du 17 juin 2005 sur le Tribunal fédéral [LTF, RS 173.110]).</w:t>
      </w:r>
    </w:p>
    <w:p>
      <w:r>
        <w:rPr>
          <w:b/>
        </w:rPr>
        <w:t>E. 1.3</w:t>
      </w:r>
    </w:p>
    <w:p>
      <w:r>
        <w:t>Le Tribunal est donc compétent pour connaître de la présente cause et statue définitivement.</w:t>
      </w:r>
    </w:p>
    <w:p>
      <w:r>
        <w:rPr>
          <w:b/>
        </w:rPr>
        <w:t>E. 1.4</w:t>
      </w:r>
    </w:p>
    <w:p>
      <w:r>
        <w:t>La procédure devant le Tribunal est régie par la PA, pour autant que ni la LTAF (cf. art. 37 LTAF), ni la LAsi (cf. art. 6 LAsi), n'en disposent autrement.</w:t>
      </w:r>
    </w:p>
    <w:p>
      <w:r>
        <w:rPr>
          <w:b/>
        </w:rPr>
        <w:t>E. 1.5</w:t>
      </w:r>
    </w:p>
    <w:p>
      <w:r>
        <w:t>L'intéressé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w:t>
      </w:r>
    </w:p>
    <w:p>
      <w:r>
        <w:rPr>
          <w:b/>
        </w:rPr>
        <w:t>E. 2.2.1</w:t>
      </w:r>
    </w:p>
    <w:p>
      <w:r>
        <w:t>Des allégations sont vraisemblables, lorsque, sur les points essentiels, elles sont suffisamment fondées (ou : consistantes), concluantes (ou : constantes et cohérentes) et plausibles et que le requérant est personnellement crédible (cf. art. 7 al. 3 LAsi).</w:t>
      </w:r>
    </w:p>
    <w:p>
      <w:r>
        <w:rPr>
          <w:b/>
        </w:rPr>
        <w:t>E. 2.2.2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formule de nouvelles de façon tardive et sans raison apparente ou s'il enfreint son obligation de collaborer (cf. art. 8 LAsi).</w:t>
      </w:r>
    </w:p>
    <w:p>
      <w:r>
        <w:rPr>
          <w:b/>
        </w:rPr>
        <w:t>E. 2.2.3</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Jurisprudence et informations de la Commission suisse de recours en matière d'asile [JICRA] 2005 n° 21 consid. 6.1 p. 190 s., JICRA 1996 n° 28 consid. 3a p. 270, JICRA 1994 n° 5 consid. 3c p. 43 s. ; Minh Son Nguyen, Droit public des étrangers, Berne 2003, p. 507 ss).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 9 consid. 5a p. 78 et JICRA 1997 n °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JICRA 1994 n° 24 p. 171ss et JICRA 1993 n° 11 p. 67ss). Sur le plan objectif, cette crainte doit être fondée sur des indices concrets qui peuvent laisser présager l'avènement, dans un avenir peu éloigné et selon une haute probabilité, de mesures déterminantes selon l'art. 3 LAsi.</w:t>
      </w:r>
    </w:p>
    <w:p>
      <w:r>
        <w:rPr>
          <w:b/>
        </w:rPr>
        <w:t>E. 2.3</w:t>
      </w:r>
    </w:p>
    <w:p>
      <w:r>
        <w:t>La crainte fondée de persécutions futures n'est, en outre, déterminante au sens de l'art. 3 LAsi que lorsque le requérant établit ou rend vraisemblable qu'il pourrait être victime de persécutions avec une haute probabilité et dans un proche avenir. Une simple éventualité de persécutions futures ne suffit pas. Des indices concrets et sérieux doivent faire apparaître ces persécutions comme imminentes et réalistes. Ainsi, une crainte de persécutions futures n'est objectivement fondée que si, placée dans les mêmes conditions, une personne douée d'une sensibilité normale aurait des raisons objectivement reconnaissables de craindre, selon toute vraisemblance, d'être victime de persécutions à tel point que l'on ne saurait exiger d'elle qu'elle rentre dans son pays (cf. ATAF 2010/44 consid. 3.4, ATAF 2008/34 consid. 7.1, ATAF 2008/12 consid. 5.1).</w:t>
      </w:r>
    </w:p>
    <w:p>
      <w:r>
        <w:rPr>
          <w:b/>
        </w:rPr>
        <w:t>E. 3.1</w:t>
      </w:r>
    </w:p>
    <w:p>
      <w:r>
        <w:t>Préliminairement, sur le plan formel, l'intéressé fait grief à l'ODM d'avoir établi les faits de manière inexacte, dans sa décision du 2 avril 2012.</w:t>
      </w:r>
    </w:p>
    <w:p>
      <w:r>
        <w:rPr>
          <w:b/>
        </w:rPr>
        <w:t>E. 3.2</w:t>
      </w:r>
    </w:p>
    <w:p>
      <w:r>
        <w:t>Le Tribunal statue, en principe, sur la base des faits établis par l'autorité inférieure. Il peut rectifier ou compléter d'office les constatations de l'ODM, si les faits ont été établis de façon inexacte ou en violation du droit (art. 106 LAsi). Cette disposition ne dispense toutefois pas l'office fédéral de son obligation d'établir un état de fait clair et complet, suffisant pour permettre au Tribunal d'exercer son contrôle. Si l'état de fait est lacunaire au point que le Tribunal ne parvient pas ou que difficilement à le discerner et fait ainsi obstacle à un contrôle de la correcte application du droit fédéral par l'autorité inférieure, le Tribunal n'a d'autre solution que d'annuler la décision attaquée et de renvoyer la cause à celle-ci pour qu'elle fournisse un état de fait suffisant (cf. Jurisprudence et informations de la Commission suisse de recours en matière d'asile [JICRA] 2006 n° 15 consid. 4.1).</w:t>
      </w:r>
    </w:p>
    <w:p>
      <w:r>
        <w:rPr>
          <w:b/>
        </w:rPr>
        <w:t>E. 3.3</w:t>
      </w:r>
    </w:p>
    <w:p>
      <w:r>
        <w:t>Certes, la décision de l'ODM du 2 avril 2012 comporte des erreurs chronologiques et une dénomination inexacte concernant un moyen de preuve. Néanmoins, dans la mesure où ces manquements ne sont pas déterminants pour l'issue de la cause, la cassation représenterait une vaine formalité eu égard notamment aux invraisemblances majeures contenues dans les propos du recourant au cours de ses différentes auditions (cf. infra). Cela étant, la faculté pour le Tribunal de remédier aux défauts éventuels de la procédure antérieure, inspirée par des motifs de célérité et d'économie de la procédure ne saurait être comprise par l'autorité inférieure comme une autorisation de méconnaître les droits procéduraux des parties (cf. ATF 126 II 111 consid. 6b/aa).</w:t>
      </w:r>
    </w:p>
    <w:p>
      <w:r>
        <w:rPr>
          <w:b/>
        </w:rPr>
        <w:t>E. 4.1</w:t>
      </w:r>
    </w:p>
    <w:p>
      <w:r>
        <w:t>Sur le plan matériel, l'intéressé déclare craindre des représailles d'une part des proches ou des membres appartenant au même clan que son supérieur enlevé au marché de B._______, et d'autre part de l'armée Peshmerga en raison de sa défection.</w:t>
      </w:r>
    </w:p>
    <w:p>
      <w:r>
        <w:rPr>
          <w:b/>
        </w:rPr>
        <w:t>E. 4.2</w:t>
      </w:r>
    </w:p>
    <w:p>
      <w:r>
        <w:t>Le recourant n'a toutefois pas démontré à satisfaction de droit que les exigences légales requises pour la reconnaissance de la qualité de réfugié et l'octroi de l'asile étaient remplies. Son recours ne contient sur ce point ni arguments ni moyens de preuve susceptibles de remettre en cause le bien-fondé de la décision querellée. Pour ce qui est de l'enlèvement de son supérieur et son neveu par quatre hommes armés, le Tribunal constate, à l'instar de l'ODM, plusieurs éléments d'invraisemblance. En premier lieu, le rapt s'étant déroulé dans un magasin à une centaine de mètres du recourant, il n'est pas pensable, contrairement à ce qu'allègue le recourant au stade du recours, que l'intéressé n'ait rien vu, ni entendu lorsque son supérieur et son neveu se seraient fait enlever en présence du gérant du magasin. En outre, le Tribunal peine à comprendre la réaction du recourant de s'enfuir alors qu'il ignore les circonstances précises de l'enlèvement. Par ailleurs, l'explication fournie dans le cadre de son recours, selon laquelle il n'avait jamais été préparé à ce genre de situation durant sa formation militaire ne saurait convaincre. En effet, son comportement demeure difficilement concevable pour un professionnel expérimenté qui travaille au sein de la milice kurde depuis neuf ans et qui dit avoir déjà vécu des situations de conflit.</w:t>
      </w:r>
    </w:p>
    <w:p>
      <w:r>
        <w:rPr>
          <w:b/>
        </w:rPr>
        <w:t>E. 4.3</w:t>
      </w:r>
    </w:p>
    <w:p>
      <w:r>
        <w:t>Concernant le mandat d'arrêt daté du 30 novembre 2008 que le recourant fournit à l'appui de son recours et qui attesterait des recherches engagées à son encontre, le Tribunal ne peut qu'émettre de sérieux doutes quant à l'authenticité de ce document. En effet, il est rédigé sur fond de photocopie de mauvaise qualité, procédé qui ouvre la voie à toutes sortes de manipulations. Les différents témoignages produits ne sauraient non plus avoir une quelconque valeur probante, une complaisance ne pouvant être exclue.</w:t>
      </w:r>
    </w:p>
    <w:p>
      <w:r>
        <w:rPr>
          <w:b/>
        </w:rPr>
        <w:t>E. 4.4</w:t>
      </w:r>
    </w:p>
    <w:p>
      <w:r>
        <w:t>Cela étant, le Tribunal, à l'instar de l'ODM, n'entend nullement mettre en doute l'engagement de l'intéressé en tant que Peshmerga, comme en attestent d'ailleurs les divers documents produits, à savoir les nombreuses photos et le certificat de l'armée. S'agissant des craintes de l'intéressé d'être exposé à des sanctions en raison de sa désertion, le Tribunal relève que la demande d'asile de l'intéressé a été déposée, le 25 novembre 2008, soit avant l'entrée en vigueur des modifications urgentes du 28 septembre 2012 de la LAsi, ajoutant un alinéa 3 à l'article 3 LAsi qui précise qu'une éventuelle sanction pour insoumission ou désertion ne constitue pas une persécution déterminante en matière d'asile pour un des motifs énoncés à cet article. Aucune disposition transitoire n'a été prévue pour l'introduction du nouvel alinéa 3 de l'art. 3 LAsi. En l'occurence, au vu de l'issue de la cause (cf. infra) la question de savoir si la nouvelle teneur de l'art. 3 LAsi s'applique in casu peut être laissée ouverte. Il convient en effet de relever que de nos jours, l'enrôlement chez les Peshmergas se fait de manière volontaire. Du reste, le métier de Peshmerga est très convoité en raison des bonnes conditions salariales, du travail peu exigeant ainsi que de la réputation honorable du métier. Dû en partie au fait que le recrutement s'effectue très facilement, la désertion n'est que rarement réprimée chez les Peshmergas, en tous les cas s'agissant d'un simple soldat. Par contre, les conséquences d'une désertion sont autrement plus graves dans le cas de Peshmergas haut-gradés. In casu, il paraît improbable que le recourant risque de subir des sanctions en raison de sa désertion. En l'espèce, le recourant a déclaré avoir intégré les forces armées en (...) et selon ses propres dires, il aurait occupé le rang de soldat de premier grade (cf. pv audition fédérale p. 8). Le Tribunal a donc la conviction que le recourant n'encourt pas de risque de subir des persécutions au sens de l'art. 3 LAsi, en cas de retour dans son pays.</w:t>
      </w:r>
    </w:p>
    <w:p>
      <w:r>
        <w:rPr>
          <w:b/>
        </w:rPr>
        <w:t>E. 4.5</w:t>
      </w:r>
    </w:p>
    <w:p>
      <w:r>
        <w:t>Enfin, son recours ne contient ni arguments ni moyens de preuve susceptibles de remettre en cause le bien-fondé de la décision querellée. S'agissant des documents déposés, ils ne sont pas non plus de nature à modifier cette analyse. Les différentes attestations de ses connaissances ne sauraient, en effet, avoir de valeur probante au vu du risque évident de complaisance existant avec l'intéressé.</w:t>
      </w:r>
    </w:p>
    <w:p>
      <w:r>
        <w:rPr>
          <w:b/>
        </w:rPr>
        <w:t>E. 4.6</w:t>
      </w:r>
    </w:p>
    <w:p>
      <w:r>
        <w:t>Au vu de ce qui précède, l'ODM a, à bon droit, refusé de reconnaître la qualité de réfugié au recourant et de lui accorder l'asile. Il s'ensuit que le recours doit être rejeté sur ces points.</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Les trois conditions posées par l'art. 83 al. 2 à 4 LEtr, empêchant l'exécution du renvoi (illicéité, inexigibilité et impossibilité) sont de nature alternative : il suffit que l'une d'elles soit réalisée pour que le renvoi soit inexécutable (arrêt E-5316/2006 du 24 novembre 2009 consid. 5 [non publié dans ATAF 2009/41] ; arrêt E-2775/2007 du 14 février 2008 consid. 6.4 [non publié dans ATAF 2008/2] ; Jurisprudence et informations de la Commission suisse de recours en matière d'asile [JICRA] 2006 n° 30 consid. 7.3 p. 329). En l'occurrence, c'est sur la question de l'exigibilité de l'exécution du renvoi que le Tribunal entend porter son attention.</w:t>
      </w:r>
    </w:p>
    <w:p>
      <w:r>
        <w:rPr>
          <w:b/>
        </w:rPr>
        <w:t>E. 7.2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7.2.1</w:t>
      </w:r>
    </w:p>
    <w:p>
      <w:r>
        <w:t>S'agissant du renvoi de ressortissants irakiens dans leur pays d'origine, le Tribunal considère que l'exécution du renvoi est raisonnablement exigible, lorsque les intéressés sont originaires de l'une des trois provinces kurdes du nord de l'Irak (Dohuk, Erbil et Suleimaniya) ou qu'il y ont vécu pendant une longue période, et qu'il y disposent d'un réseau social (famille, parenté ou amis) ou de liens avec les partis dominants (cf. ATAF 2008/5 p. 57ss). Cette jurisprudence prend en considération les sérieuses difficultés que doivent affronter les intéressés lors de leur installation au Kurdistan, notamment pour trouver un emploi suffisamment rémunéré et un logement, et ce dans un contexte de forte augmentation du coût de la vie et de lacunes d'approvisionnement en eau potable, en énergie et en biens alimentaires, auxquelles le gouvernement kurde ne pallie que partiellement par des systèmes de rationnement ou de distribution publique. Dans ces conditions, il est important qu'en cas de retour au Kurdistan, les intéressés puissent compter sur un réseau social ou sur des liens avec les partis dominants (cf. ATAF 2008/5 consid. 7.5 in fine, p. 73).</w:t>
      </w:r>
    </w:p>
    <w:p>
      <w:r>
        <w:rPr>
          <w:b/>
        </w:rPr>
        <w:t>E. 7.2.2</w:t>
      </w:r>
    </w:p>
    <w:p>
      <w:r>
        <w:t>En l'espèce, il ne ressort du dossier aucun élément dont on pourrait inférer que l'exécution du renvoi impliquerait une mise en danger concrète du recourant. Selon ses déclarations, le recourant est Kurde, originaire de la province de B._______, et a toujours vécu dans cette ville. Il est jeune et au bénéfice d'une expérience professionnelle qui devrait lui permettre de retrouver un emploi. À cela s'ajoute qu'il est censé disposer d'un réseau social dans sa province sur lequel il pourra compter à son retour.</w:t>
      </w:r>
    </w:p>
    <w:p>
      <w:r>
        <w:rPr>
          <w:b/>
        </w:rPr>
        <w:t>E. 7.3</w:t>
      </w:r>
    </w:p>
    <w:p>
      <w:r>
        <w:t>Au vu de ce qui précède, l'exécution du renvoi doit être considérée comme raisonnablement exigible, au sens de l'art. 83 al. 4 LEtr.</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 (cf. ATAF 2008/34 consid. 12 p. 513-515).</w:t>
      </w:r>
    </w:p>
    <w:p>
      <w:r>
        <w:rPr>
          <w:b/>
        </w:rPr>
        <w:t>E. 9.1</w:t>
      </w:r>
    </w:p>
    <w:p>
      <w:r>
        <w:t>Au vu de ce qui précède, l'exécution du renvoi doit être considérée comme conforme aux dispositions légales.</w:t>
      </w:r>
    </w:p>
    <w:p>
      <w:r>
        <w:rPr>
          <w:b/>
        </w:rPr>
        <w:t>E. 9.2</w:t>
      </w:r>
    </w:p>
    <w:p>
      <w:r>
        <w:t>Il s'ensuit que le recours, en tant qu'il conteste le renvoi et son exécution, doit être également rejeté.</w:t>
      </w:r>
    </w:p>
    <w:p>
      <w:r>
        <w:rPr>
          <w:b/>
        </w:rPr>
        <w:t>E. 10</w:t>
      </w:r>
    </w:p>
    <w:p>
      <w:r>
        <w:t>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les conclusions du recours n'étant pas apparues, d'emblée, vouées à l'échec et le recourant ayant établi son indigence, la demande d'assistance judiciaire partielle est admise (cf. art. 65 al. 1 PA). Il est donc renoncé à la perception des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