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E-235/2012 vom 10. April 2012</w:t>
      </w:r>
    </w:p>
    <w:p>
      <w:r>
        <w:t>Bundesverwaltungsgericht, 2012-04-10, DE</w:t>
      </w:r>
    </w:p>
    <w:p>
      <w:r>
        <w:rPr>
          <w:b/>
        </w:rPr>
        <w:t xml:space="preserve">Quelle: </w:t>
      </w:r>
      <w:r>
        <w:t>https://mcp.opencaselaw.ch/entscheid/bvger_E-235_2012</w:t>
      </w:r>
    </w:p>
    <w:p>
      <w:r>
        <w:t>FR: TAF E-235/2012 du 10 avril 2012</w:t>
      </w:r>
    </w:p>
    <w:p>
      <w:r>
        <w:t>IT: TAF E-235/2012 del 10 aprile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form- und fristgerecht eingereichte Beschwerde (Art. 52 VwVG und Art. 108 Abs. 1 AsylG) ist einzutreten.</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3.3</w:t>
      </w:r>
    </w:p>
    <w:p>
      <w:r>
        <w:t>Die Vorinstanz hat den Massstab des Glaubhaftmachens nach Art. 7 AsylG auf den vorliegenden Fall korrekt angewendet. Sie hat in der angefochtenen Verfügung einlässlich begründet, weshalb die Vorbringen des Beschwerdeführers unsubstantiiert, realitätsfremd, teilweise widersprüchlich und in einer Gesamtwürdigung als unglaubhaft ausfielen. Der Beschwerdeführer setzt sich mit der vorinstanzlichen Beweiswürdigung kaum auseinander und zeigt nicht auf, inwiefern diese Bundesrecht verletzt oder zu einer fehlerhaften Sachverhaltsfeststellung führen soll. Solches ist auch nicht ersichtlich. In der Tat blieben die Ausführungen des Beschwerdeführers allesamt vage und substanzlos. So konnte er beispielsweise keine genauen Angaben zu seiner Anhaltung machen (BFM-Akten A9/10 S. 5 und 6) und gab anlässlich der Befragung zur Person vom 16. August 2011 und der Anhörung vom 8. September 2011 unterschiedliche Zeitperioden an, an welchen die stundenlange Befragung durch die Polizei stattgefunden haben soll (BFM-Akten A6/11 S. 5, A9/10 S. 4). Des Weiteren konnte der politisch interessierte Beschwerdeführer nicht überzeugend darlegen, weshalb seine Mutter gesucht werde und in welchem Verfahren sie involviert sein soll (BFM-Akten A9/10 S. 7ff.). Da es sich dabei um eine nahe Verwandte und um einen zentralen Asylgrund handelt, hätte vom Beschwerdeführer erwartet werden können, dass er zum politischen Profil der Mutter sowie deren Inhaftierung genaue Angaben machen kann. Dem Erklärungsversuch auf Beschwerdeebene, wonach er in einem psychisch schlechten Zustand und aufgrund von Gedächtnis- und Konzentrationsproblemen nicht in der Lage gewesen sei, detaillierte Angaben zu machen, kann gestützt auf die Befragungsprotokolle nicht gefolgt werden. Abgesehen davon, dass starke Zweifeln an der Glaubhaftigkeit der Vorbringen bestehen, kann aufgrund der kurzen Anhaltung durch die Polizei ohnehin nicht von einer Reflexverfolgung die Rede sein. Auch die Befürchtungen des Beschwerdeführers aufgrund der Mitgliedschaft in der C._______ in seinem Heimatstaat verfolgt zu werden, können nicht geteilt werden. Die C._______ ist eine legale Partei, welche im türkischen Parlament mit einer eigenen Fraktion vertreten ist und der Beschwerdeführer weist als einfaches Mitglied der C._______ ohnehin nur ein geringes politisches Profil auf. Ebenfalls als nicht asylrelevant, in Zustimmung der Ausführungen der Vorinstanz, erweisen sich die Vorbringen des Beschwerdeführers bezüglich der ausstehenden Militärdienstpflicht. Die alle männlichen Staatsbürger umfassende Militärdienstpflicht in der Türkei stellt eine staatliche Verpflichtung dar, welche grundsätzlich nicht asylrelevant ist. Eine allfällige Bestrafung wegen Militärdienstverweigerung erfolgt zudem aus militärstrafrechtlichen und somit aus legitimen Motiven. Es ist zwar bekannt, dass während des Militärdienstes Schikanen von Seiten türkischer Kameraden und Vorgesetzter gegen Kurden vorkommen können, diese sind jedoch in der Regel nicht derart gravierend, dass es sich um ernsthafte Nachteile im Sinne des Asylgesetzes handeln würde. Der Beschwerdeführer hat damit nichts vorgebracht, das geeignet wäre, die Flüchtlingseigenschaft nachzuweisen oder zumindest glaubhaft zu machen. Der angefochtene Entscheid ist somit im Asylpunkt zu bestätigen.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Türkei herrscht keine Situation allgemeiner Gewalt oder kriegerische oder bürgerkriegsähnliche Verhältnisse. Dem Wegeweisungsvollzug stehen auch keine individuellen Gründe entgegen. Beim Beschwerdeführer handelt es sich um einen jungen Mann, der als D______ gearbeitet hat. Er konnte seinen Lebensunterhalt selbstständig bestreiten, verfügt über ein familiäres und zweifelsohne über ein soziales Netz, welches ihm bei seiner Rückkehr in das Heimatland unterstützen wird. Der Vollzug der Wegweisung des Beschwerdeführers ist demnach zumutbar.</w:t>
      </w:r>
    </w:p>
    <w:p>
      <w:r>
        <w:rPr>
          <w:b/>
        </w:rPr>
        <w:t>E. 5.4</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 S. 513 - 515).</w:t>
      </w:r>
    </w:p>
    <w:p>
      <w:r>
        <w:rPr>
          <w:b/>
        </w:rPr>
        <w:t>E. 5.5</w:t>
      </w:r>
    </w:p>
    <w:p>
      <w:r>
        <w:t>Die Vorinstanz hat den Wegweisungsvollzug zusammenfassend zu Recht als zulässig, zumutbar und möglich erachtet, weshalb die Anordnung der vorläufigen Aufnahme ausser Betracht fällt.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sind die Kosten dem Beschwer­deführer aufzuerlegen (Art. 63 Abs. 1 VwVG) und insgesamt auf Fr. 600.- festzusetzen (Art. 1 - 3 des Reglements vom 21. Februar 2008 über die Kosten und Entschädigungen vor dem Bundesverwaltungsgericht [VGKE, SR 173.320.2]). Dem Gesuch um Gewährung der unentgeltlichen Rechtspflege kann nicht entsprochen werden, weil die Beschwerde als aussichtslos zu gelten hat (Art. 65 Abs. 1 VwVG). Der prozessuale Antrag betreffend Bekanntgabe von Personendaten an den Heimat- oder Herkunftsstaat im Sinne von Art. 97 AsylG ist abzuweisen, weil den Akten keine Anhaltspunkte zu entnehmen sind, dass eine Bekanntgabe erfolgt ist. Die übrigen prozessualen Anträge, insbesondere das Gesuch um Verzicht auf die Erhebung eines Kostenvorschusses,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