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E-2359/2012 vom 23. Mai 2012</w:t>
      </w:r>
    </w:p>
    <w:p>
      <w:r>
        <w:t>Bundesverwaltungsgericht, 2012-05-23, DE</w:t>
      </w:r>
    </w:p>
    <w:p>
      <w:r>
        <w:rPr>
          <w:b/>
        </w:rPr>
        <w:t xml:space="preserve">Quelle: </w:t>
      </w:r>
      <w:r>
        <w:t>https://mcp.opencaselaw.ch/entscheid/bvger_E-2359_2012</w:t>
      </w:r>
    </w:p>
    <w:p>
      <w:r>
        <w:t>FR: TAF E-2359/2012 du 23 mai 2012</w:t>
      </w:r>
    </w:p>
    <w:p>
      <w:r>
        <w:t>IT: TAF E-2359/2012 del 23 maggio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mit summarischer Begründung zu behandeln (Art. 111a Abs. 1 und 2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Die Flüchtlingseigenschaft gemäss Art. 3 AsylG erfüllt eine asylsuchende Person,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Begründete Furcht vor Verfolgung liegt vor, wenn konkreter Anlass zur Annahme besteht, eine Verfolgung hätte sich mit beachtlicher Wahrscheinlichkeit und in absehbarer Zeit verwirklicht beziehungsweise werde sich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BVGE 2010/44 E. 3.4).</w:t>
      </w:r>
    </w:p>
    <w:p>
      <w:r>
        <w:rPr>
          <w:b/>
        </w:rPr>
        <w:t>E. 3.3</w:t>
      </w:r>
    </w:p>
    <w:p>
      <w:r>
        <w:t>Der Beschwerdeführer macht geltend, im Jahre 2007 und 2009 unter dem Vorwand, die LTTE (Liberation Tigers of Tamil Eelam) zu unterstützen, festgenommen worden und während der Haft misshandelt worden zu sein. Seine Familie habe einen bescheidenen Wohlstand erworben und die EPDP (Eelam Peoples Democratic Party) wolle von ihm Geld einkassieren. Er habe als (...) gearbeitet, welcher vor drei Jahren auch bedroht worden sei. Der Beschwerdeführer hat sich eigenen Angaben zufolge in seinem Heimatland nie politisch betätigt. Er gibt an, dass die Verhaftung eventuell nur ein Vorwand gewesen sei, um Geld von ihm zu kassieren. Dieses finanzielle Interesse sei auch noch nach drei Jahren Abwesenheit aktuell, da seine Eltern erst kürzlich von bewaffneten Männern, welche der Armee und der EPDP angehörten, aufgesucht worden seien. Diese hätten nach dem Beschwerdeführer gefragt und (...) mit dem Tod bedroht. (...) habe daraufhin am (...) eine Klage bei der Human Rights Commission of Sri Lanka eingereicht.</w:t>
      </w:r>
    </w:p>
    <w:p>
      <w:r>
        <w:rPr>
          <w:b/>
        </w:rPr>
        <w:t>E. 3.4</w:t>
      </w:r>
    </w:p>
    <w:p>
      <w:r>
        <w:t>Die Vorinstanz hat in ihrer Verfügung vom 29. Mai 2012 zutreffend begründet, dass die geltend gemachten Fluchtgründe asylrechtlich als nicht relevant zu erachten sind, da sich die politische Lage in Sri Lanka seit Beendigung des Bürgerkrieges im Mai 2009 fortlaufend entspannt und verbessert hat. In Übereinstimmung mit der Vorinstanz ist festzustellen, dass es wenig wahrscheinlich erscheint, dass der Beschwerdeführer, der eigenen Angaben zufolge nie politisch aktiv war, wegen Verdachts auf Unterstützung der LTTE verfolgt worden sein soll. Auch der Umstand, dass er sein Heimatland während des Bürgerkrieges verlassen hat, sich seit über drei Jahre in der Schweiz aufhält und hier ein Asylgesuch eingereicht hat, vermag nicht zur Annahme einer begründeten Furcht vor zukünftiger Verfolgung zu führen, da keine Anhaltspunkte dafür bestehen, dass er sich im nahen Umfeld der LTTE bewegt. Des Weiteren können die Befürchtungen des Beschwerdeführers, aufgrund des bescheidenen Wohlstands seiner Familie im Heimatland festgenommen und erpresst zu werden, nicht geteilt werden. (...), welcher der Besitzer des (...) ist, wurde nach Angaben des Beschwerdeführers vor drei Jahren ebenfalls bedroht, die Familie lebte jedoch seit der Ausreise des Beschwerdeführers bis vor kurzem völlig unbehelligt. Es erscheint deshalb äusserst unglaubhaft, dass die Familie nun zum ersten Mal seit des Erpressungsversuches vor drei Jahren, nur wenige Tage nach Eröffnung der erstinstanzlichen Verfügung, erneut erpresst worden sein soll. Es ist daher nicht anzunehmen, dass der Beschwerdeführer zum heutigen Zeitpunkt bei einer Rückkehr in sein Heimatland von deren Behörden oder der EPDP asylrelevante Nachteile zu befürchten hat. Er gehört keiner der im Grundsatzurteil des Bundesverwaltungsgerichts zur Lage in Sri Lanka (vgl. BVGE 2011/24) definierten Risikogruppen an, weshalb eine asylrelevante Verfolgung nicht anzunehmen ist.</w:t>
      </w:r>
    </w:p>
    <w:p>
      <w:r>
        <w:rPr>
          <w:b/>
        </w:rPr>
        <w:t>E. 3.5</w:t>
      </w:r>
    </w:p>
    <w:p>
      <w:r>
        <w:t>Zusammenfassend ergibt sich, dass der Beschwerdeführer die Flüchtlingseigenschaft nicht erfüllt und die Vorinstanz das Asylgesuch zu Recht abgelehnt hat.</w:t>
      </w:r>
    </w:p>
    <w:p>
      <w:r>
        <w:rPr>
          <w:b/>
        </w:rPr>
        <w:t>E. 4</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S. 733). Das Bundesamt hat die Anordnung der Wegweisung zu Recht verfügt.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dass der Beschwerdeführer im Falle einer Ausschaffung in den Heimatstaat dort mit beachtlicher Wahrscheinlichkeit einer verbotenen Strafe oder Behandlung ausgesetzt wäre. Der Wegweisungsvollzug ist demnach zulässig.</w:t>
      </w:r>
    </w:p>
    <w:p>
      <w:r>
        <w:rPr>
          <w:b/>
        </w:rPr>
        <w:t>E. 6.1</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nahm im Grundsatzurteil BVGE 2011/24 eine umfassende Analyse der Situation in Sri Lanka vor. Danach hat sich seit dem Ende des bewaffneten Konflikts zwischen der sri-lankischen Armee und den LTTE im Mai 2009 die allgemeine Lage in Sri Lanka erheblich verbessert. Die Situation in der Ostprovinz hat sich weitgehend stabilisiert und normalisiert, so dass der Wegweisungsvollzug in das gesamte Gebiet der Ostprovinz als grundsätzlich zumutbar zu erachten ist (vgl. Urteil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sorgfältige, zurückhaltende Beurteilung der individuellen Zumutbarkeitskriterien auf. Nebst der allgemeinen Zumutbarkeit ist dabei auch dem zeitlichen Element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Urteil a.a.O. E. 13.2.1).</w:t>
      </w:r>
    </w:p>
    <w:p>
      <w:r>
        <w:rPr>
          <w:b/>
        </w:rPr>
        <w:t>E. 6.2</w:t>
      </w:r>
    </w:p>
    <w:p>
      <w:r>
        <w:t>Der Beschwerdeführer stammt aus B._______, wo nach wie vor seine Eltern und zwei Schwestern leben. Beim Beschwerdeführer handelt es sich um einen gesunden, jungen Mann, der als (...) gearbeitet hat. Er konnte seinen Lebensunterhalt selbstständig bestreiten, verfügt über ein familiäres und zweifelsohne auch über ein soziales Netz, welches ihm bei seiner Rückkehr in das Heimatland unterstützen wird. Damit erfüllt der Beschwerdeführer alle Zumutbarkeitskriterien, weshalb eine innerstaatliche Aufenthaltsalternative nicht geprüft zu werden braucht. Der Wegweisungsvollzug erweist sich als zumutbar.</w:t>
      </w:r>
    </w:p>
    <w:p>
      <w:r>
        <w:rPr>
          <w:b/>
        </w:rPr>
        <w:t>E. 7</w:t>
      </w:r>
    </w:p>
    <w:p>
      <w:r>
        <w:t>Nach Art. 83 Abs. 2 AuG ist der Wegweisungsvollzug schliesslich auch als möglich zu bezeichnen, da es dem Beschwerdeführer obliegt, sich bei der zuständigen Vertretung des Heimatstaates die für eine Rückkehr notwendigen Reisedokumente zu beschaffen (vgl. Art. 8 Abs. 4 AsylG und dazu auch BVGE 2008/34 E. 12).</w:t>
      </w:r>
    </w:p>
    <w:p>
      <w:r>
        <w:rPr>
          <w:b/>
        </w:rPr>
        <w:t>E. 8</w:t>
      </w:r>
    </w:p>
    <w:p>
      <w:r>
        <w:t>Die Vorinstanz hat den Wegweisungsvollzug zu Recht als zulässig, zumutbar und möglich erachtet, weshalb die Anordnung der vorläufigen Aufnahme ausser Betracht fällt.</w:t>
      </w:r>
    </w:p>
    <w:p>
      <w:r>
        <w:rPr>
          <w:b/>
        </w:rPr>
        <w:t>E. 9</w:t>
      </w:r>
    </w:p>
    <w:p>
      <w:r>
        <w:t>Aus diesen Erwägungen ergibt sich, dass die angefochtene Verfügung Bundesrecht nicht verletzt und auch sonst nicht zu beanstanden ist (vgl. Art. 106 AsylG). Die Beschwerde ist abzuweisen.</w:t>
      </w:r>
    </w:p>
    <w:p>
      <w:r>
        <w:rPr>
          <w:b/>
        </w:rPr>
        <w:t>E. 10</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