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E-2351/2018 vom 1. Oktober 2020</w:t>
      </w:r>
    </w:p>
    <w:p>
      <w:r>
        <w:t>Bundesverwaltungsgericht, 2020-10-01, DE</w:t>
      </w:r>
    </w:p>
    <w:p>
      <w:r>
        <w:rPr>
          <w:b/>
        </w:rPr>
        <w:t xml:space="preserve">Quelle: </w:t>
      </w:r>
      <w:r>
        <w:t>https://mcp.opencaselaw.ch/entscheid/bvger_E-2351_2018</w:t>
      </w:r>
    </w:p>
    <w:p>
      <w:r>
        <w:t>FR: TAF E-2351/2018 du 1 octobre 2020</w:t>
      </w:r>
    </w:p>
    <w:p>
      <w:r>
        <w:t>IT: TAF E-2351/2018 del 1 ottobre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4.1</w:t>
      </w:r>
    </w:p>
    <w:p>
      <w:r>
        <w:t>Der Beschwerdeführer beantragt, die Akten des Relocationverfahrens seien vollständig beizuziehen und offen zu legen. Die Vorinstanz habe im Rahmen des Relocationverfahrens seiner Übernahme von Italien zugestimmt, weil er besonders schutzwürdig gewesen sei. Ihm sei nur ein Teil der Relocationakten offengelegt worden. Aus den übrigen Akten ergebe sich wahrscheinlich, weshalb er als schutzbedürftig angesehen worden sei. Es sei ihm daher vollständige Einsicht in diese Akten, insbesondere in das Übernahmeersuchen Italiens (SEM-Akten, act. R1/25 und R2/3) sowie das Prüfschema Relocation (act. A8/1), zu gewähren. Dies entspreche der Rechtsprechung des Bundeverwaltungsgerichts, wonach dem Beschwerdeführer zumindest beschränkter Zugang zu den Relocationakten zu gewähren sei und die Vorinstanz Akten des Relocationverfahrens mitzuberücksichtigen und zumindest ansatzweise in den Entscheid einfliessen zu lassen habe (Urteil des BVGer E-4491/2017, E-4500/2017 vom 10. November 2017 E. 6.2.3).</w:t>
      </w:r>
    </w:p>
    <w:p>
      <w:r>
        <w:rPr>
          <w:b/>
        </w:rPr>
        <w:t>E. 4.2</w:t>
      </w:r>
    </w:p>
    <w:p>
      <w:r>
        <w:t>Die Akten des Relocationverfahrens sind Teil der Asylakten. Folglich sind sie für das Asylverfahren beigezogen worden. Im zitierten Urteil des Bundesverwaltungsgerichts wurde festgehalten, es bestehe ein beschränktes Einsichtsrecht in die Relocationakten. Die Vorinstanz gewährte dem Beschwerdeführer Einsicht in folgende Akten des Relocationverfahrens: Kopie des Aktenverzeichnisses des Relocationverfahrens, Aktennotiz des SEM (Akte R5), Relocation Acceptance (Akte R 10/2), Laissez-Passer (Akte R11), Akten betreffend die Asylvorbringen des Beschwerdeführers in anonymisierter Form aus Akte R1/25 (Akte R13: Modello C3-English; Vulnerability Form und Exclusion Form). Aus diesen Akten geht der Grund für die Übernahme des Beschwerdeführers durch die Schweiz sowie eine kurze Schilderung seiner Asylvorbringen (Furcht vor dem Einbezug in den Militärdienst) hervor. Die Voristanz ist damit ihrer Pflicht zur Gewährung des beschränkten Zugangs zu den Relocationakten nachgekommen. Die übrigen Relocationakten hat sie zu Recht als interne Akten bezeichnet und keine Einsicht gewährt. Der Beweisantrag auf vollständige Offenlegung der Akten des Relocationverfahrens ist daher abzuweisen.</w:t>
      </w:r>
    </w:p>
    <w:p>
      <w:r>
        <w:rPr>
          <w:b/>
        </w:rPr>
        <w:t>E. 5.1</w:t>
      </w:r>
    </w:p>
    <w:p>
      <w:r>
        <w:t>Der Beschwerdeführer rügt eine Verletzung des rechtlichen Gehörs und eine unvollständige Feststellung des Sachverhalts. Die Anhörung habe in Tigriniya stattgefunden, obwohl seine Muttersprache Saho sei. Er habe dies zwar nicht moniert, da ihm die Vorinstanz schriftlich mitgeteilt habe, es gebe keinen Dolmetscher für Saho. Im Verlaufe der Anhörung habe er den Dolmetscher aber etliche Male nicht verstanden, weshalb seine Antworten von den Fragen abgewichen seien oder keinen Sinn ergeben hätten. Die Befragerin habe dies selbst festgestellt. Zudem habe der Dolmetscher nicht korrekt beziehungsweise nicht präzis genug übersetzt sowie über ungenügende Deutschkenntnisse verfügt. Die Hilfswerksvertretung habe mehrmals intervenieren müssen. Die Sache sei deshalb zur Durchführung einer erneuten Anhörung in seiner Muttersprache (Saho) an die Vorinstanz zurückzuweisen. Hierbei handelt es sich um eine formelle Rüge, welche vorab zu beurteilen ist, da sie allenfalls geeignet wäre,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Muttersprache des Beschwerdeführers ist Saho. Die Befragung und die Anhörung wurden mangels eines Saho sprechenden Dolmetschers auf Tigriniya durchgeführt. Der Beschwerdeführer nannte auf dem Personalienblatt Tigriniya als mögliche weitere Interviewsprache (act. A1). An der Befragung gab er an, er könne sich in Tigriniya frei ausdrücken und seine Sprachkenntnisse in Tigriniya seien sehr gut. Am Ende der Befragung bestätigte er, den Dolmetscher gut verstanden zu haben (act. A4 F h, F 1.17.03, F 9.02). Vor der Anhörung wurde der Beschwerdeführer schriftlich darauf aufmerksam gemacht, die Anhörung würde auf Tigriniya durchgeführt werden, da es keinen Dolmetscher für Saho gebe. Das Schreiben blieb unerwidert. Eingangs der Anhörung wies die Befragerin den Beschwerdeführer darauf hin, es sei sehr wichtig, dass er alles verstehe. Er solle nicht zögern, auf beide Seiten Rückfragen zu stellen, die für eine Verständigung notwendig seien. Der Beschwerdeführer meinte, es gebe keine Verständigungsprobleme (act. A13 F 1 ff.). Wie in der Beschwerdeschrift ausgeführt, gab es während der Anhörung Fragen, auf die der Beschwerdeführer zunächst unklare Antworten gab (act. A13 F 76 ff., F 93, F 145, F 203). Die Befragerin klärte diese Unklarheiten durch gezieltes Nachfragen indes auf (act. A13 F 35, F 85, F 97, F 147, F 204). Zudem erkundigte sich die Befragerin im Verlaufe der Anhörung, ob die Verständigung klappe. Der Beschwerdeführer bejahte dies. Der Dolmetscher antwortete, die Satzstellung des Beschwerdeführers sei schwierig, inhaltlich sei es aber ok (act. A13 F 69). Zudem stellte der Beschwerdeführer zwischendurch Rückfragen, aus denen ersichtlich ist, dass er der Befragung folgen konnte (act. A13 F 79, F 96, F111, F 173 f.). Abgesehen von dem gelegentlichen Nachfragen zur Klärung der Antworten sind dem Anhörungsprotokoll denn auch keine Unstimmigkeiten zu entnehmen. Die Asylvorbringen des Beschwerdeführers gehen daraus klar hervor. Insgesamt liegt keine ungenügende Sachverhaltsfeststellung oder eine Verletzung des rechtlichen Gehörs vor; eine erneute Anhörung des Beschwerdeführers ist nicht angezeigt.</w:t>
      </w:r>
    </w:p>
    <w:p>
      <w:r>
        <w:rPr>
          <w:b/>
        </w:rPr>
        <w:t>E. 5.4</w:t>
      </w:r>
    </w:p>
    <w:p>
      <w:r>
        <w:t>Es besteht demnach keine Veranlassung, die Sache aus formellen Gründen aufzuheben und zur Neubeurteilung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Schilderungen der Razzien respektive der Suche durch die Soldaten nach ihm und wie er davon erfahren habe, seien auch nach mehrmaligem Nachfragen äusserst vage und unsubstantiiert ausgefallen. Die rudimentären Antworten hätten nicht den Eindruck vermittelt, der Beschwerdeführer spreche von einschneidenden Erlebnissen, die ihn zur Flucht veranlasst hätten. Zudem fehle den Schilderungen weitgehend der persönliche Bezug. An der Befragung habe er gesagt, er habe eine Vorladung für den Militärdienst erhalten, während er an der Anhörung diese Vorladung trotz mehrmaligen Fragens nach den Fluchtgründen nicht erwähnt habe. Erst als er auf diesen Widerspruch aufmerksam gemacht worden sei, habe er den Erhalt der Vorladung bestätigt. Die Ausführungen zur illegalen Ausreise seien ebenfalls knapp und teils widersprüchlich ausgefallen. Die Asylvorbringen seien daher unglaubhaft. Der Vollständigkeit halber sei darauf hingewiesen, dass die blosse Befürchtung, es könnte irgendwann einmal etwas passieren, nicht zur Annahme einer begründeten Furcht vor künftiger asylrelevanter Verfolgung genüge.</w:t>
      </w:r>
    </w:p>
    <w:p>
      <w:r>
        <w:rPr>
          <w:b/>
        </w:rPr>
        <w:t>E. 7.2</w:t>
      </w:r>
    </w:p>
    <w:p>
      <w:r>
        <w:t>Der Beschwerdeführer macht geltend, die tendenzielle Knappheit in der Substanz seiner Erzählweise sei nicht als Unglaubhaftigkeitsmerkmal, sondern als persönlicher Erzählstil zu werten. Der Erhalt der Vorladung sei für ihn weder das einschneidenste, noch das fluchtauslösende Element gewesen. Er habe bereits vorher gewusst, dass die Behörden ihn hätten rekrutieren wollen. Ferner habe er die Vorladung nicht persönlich erhalten und nicht gelesen. Die Behörden hätten nach ihm gesucht und seien somit mit ihm in Kontakt getreten. Mit seiner Flucht habe er sich dem Militärdienst entzogen. Er werde deswegen als Dienstverweigerer angesehen. Die illegale Ausreise habe er glaubhaft geschildert. Bei einer Rückkehr würde er verhaftet, bestraft und in den Militärdienst eingezogen werden. Der Wegweisungsvollzug sei unzulässig. Zudem sei der Vollzug nicht zumutbar, da er der Minderheitsethnie Saho angehöre, seine Eltern tot seien, seine entfernten Verwandten mittelos seien und er als Tagelöhner gearbeitet habe.</w:t>
      </w:r>
    </w:p>
    <w:p>
      <w:r>
        <w:rPr>
          <w:b/>
        </w:rPr>
        <w:t>E. 8.1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Urteil des BVGer E-1740/2016 vom 9. Februar 2018 E. 5.1). Der Beschwerdeführer wurde zwar nicht in seiner Muttersprache angehört, er verfügt aber über gute Kenntnisse der Anhörungssprache Tigriniya und die Anhörung weist keine Unregelmässigkeiten auf. Selbst unter Berücksichtigung dieses Umstandes darf daher erwartet werden, dass er prägende Erlebnisse einigermassen nachvollziehbar und detailliert schildern kann. Dies gelang dem Beschwerdeführer indes nicht. Trotz mehrmaligen Nachfragens fielen die Angaben zum Schulabbruch, zu den Razzien, zur Suche nach ihm durch die Soldaten und zu seinen Übernachtungen im Freien äusserst vage und substanzlos aus. Die Erklärung, dies entspreche seinem Erzählstil, überzeugt nicht. Spätestens nachdem er mehrfach darauf aufmerksam gemacht worden ist, dass eine detaillierte Schilderung der Asylvorbringen wichtig sei, wäre zu erwarten gewesen, dass er von seinem Erzählstil abrücken und die Erlebnisse ausführlicher erzählen würde. Dies war jedoch nicht der Fall. So wurde er beispielsweise am Ende der Anhörung von der Hilfswerksvertretung gebeten, den Tag, an dem er den Ausreiseentschluss gefasst habe, zu schildern. Der Beschwerdeführer antwortete, er habe die Situation nicht mehr ausgehalten und sich entschieden auszureisen. Auf Nachfrage der Hilfswerksvertretung, ob dies alles sei, woran er sich erinnern könne, meinte er, das sei es gewesen. Etwas anderes gebe es nicht (act. A13 F 176 ff.). Seine Schilderungen sind insgesamt äusserst oberflächlich ausgefallen und erwecken nicht den Eindruck, dass er die Ereignisse tatsächlich erlebt hat. Hinzu kommen einige Ungereimtheiten. Der Beschwerdeführer konnte nicht nachvollziehbar erklären, weshalb er erst im Alter von 14 Jahren mit der Schule begonnen hat. An der Befragung gab er an, eine Vorladung für den Militärdienst erhalten zu haben. Anlässlich der Anhörung erwähnte der Beschwerdeführer die Vorladung nicht, obwohl er mehrmals gefragt wurde, ob er nebst der Suche der Soldaten nach ihm noch weiteren Kontakt mit den Behörden gehabt habe (act. A13 F 91, F 96 f., F101, F 179). Auf diesen Widerspruch hingewiesen, meinte der Beschwerdeführer, die Befragung sei nicht so ausführlich gewesen. Sie hätten ihm damals nicht gesagt, er solle detailliert erzählen. Sie hätten ihm kürzere Fragen gestellt und er habe kürzere Antworten gegeben (act. A13 F 188). Diese Erklärung ist nicht nachvollziehbar. Gerade weil die Anhörung ausführlicher als die Befragung ist, hätte erwartet werden können, dass er an der Befragung genannte Vorbringen ebenfalls an der Anhörung erwähnt. Dem Argument in der Beschwerdeschrift, der Erhalt der Vorladung sei weder das einschneidenste noch das fluchtauslösende Element gewesen, kann ebenfalls nicht gefolgt werden. Offenbar war die Vorladung ein derart einschneidendes Erlebnis, dass er es bei der kurz gehaltenen Befragung nannte. Deshalb hätte erwartet werden können, dass er es ebenfalls an der Anhörung erwähnt, selbst wenn es nicht das fluchtauslösende Erlebnis gewesen wäre. Insgesamt sind die Vorbringen des Beschwerdeführers zur Suche nach ihm durch Soldaten und zum Erhalt der Vorladung für den Militärdienst aufgrund der Substanzlosigkeit der Schilderung und der Ungereimtheiten als unglaubhaft einzustufen. Es ist somit davon auszugehen, dass der Beschwerdeführer von den eritreischen Behörden nicht als Dienstverweigerer angesehen wird.</w:t>
      </w:r>
    </w:p>
    <w:p>
      <w:r>
        <w:rPr>
          <w:b/>
        </w:rPr>
        <w:t>E. 8.2</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 Das Bundesverwaltungsgericht stützte mit obigem Urteil die Praxisänderung der Vorinstanz, wonach die illegale Ausreise aus Eritrea ohne weitere Anknüpfungspunkte keine Asylrelevanz aufweist. Der Beschwerdeführer konnte weder die Suche der Soldaten nach ihm noch die Vorladung für den Militärdienst glaubhaft machen. Folglich kann offenbleiben, ob seine Ausreise illegal erfolgt ist, da nebst der allfälligen illegalen Ausreise keine zusätzlichen Anknüpfungspunkte vorliegen, welche ihn in den Augen des eritreischen Regimes als missliebige Person erscheinen lassen könnten, beziehungsweise zu einer Schärfung seines Profils und dadurch zu einer flüchtlingsrechtlich relevanten Verfolgungsgefahr führen könnten. Dem Beschwerdeführer ist es somit nicht gelungen, eine relevante Verfolgungsgefahr im Sinne von Art. 3 respektive Art. 54 AsylG darzutun. Die Vorinstanz hat seine Flüchtlingseigenschaft zu Recht verneint.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 Die Wegweisung wurde zu Recht angeordnet.</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10.2.1</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FK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10.2.2</w:t>
      </w:r>
    </w:p>
    <w:p>
      <w:r>
        <w:t>Gemäss Art. 25 Abs. 3 BV, Art. 3 FoK und Art. 3 EMRK darf niemand der Folter oder unmenschlicher oder erniedrigender Strafe oder Behandlung unterworfen werden.</w:t>
      </w:r>
    </w:p>
    <w:p>
      <w:r>
        <w:rPr>
          <w:b/>
        </w:rPr>
        <w:t>E. 10.2.3</w:t>
      </w:r>
    </w:p>
    <w:p>
      <w:r>
        <w:t>Das Bundesverwaltungsgericht klärte im Grundsatzurteil 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10.2.4</w:t>
      </w:r>
    </w:p>
    <w:p>
      <w:r>
        <w:t>Gemäss Praxis des Europäischen Gerichtshofes für Menschenrechte (EGMR) müsste die Beschwerdeführerin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10.2.5</w:t>
      </w:r>
    </w:p>
    <w:p>
      <w:r>
        <w:t>Aus den Akten ergeben sich keine weiteren Gründe für die Annahme der Unzulässigkeit des Wegweisungsvollzugs. Der Wegweisungsvollzug ist folglich als zulässig zu betrachten.</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10.3.1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10.3.2</w:t>
      </w:r>
    </w:p>
    <w:p>
      <w:r>
        <w:t>Beim Beschwerdeführer handelt es sich um einen jungen Mann mit siebenjähriger Schulbildung. Danach hat er als Bauer für seinen Lebensunterhalt gesorgt. Seine Eltern sind zwar verstorben, aber seine Verwandten haben sich früher um ihn gekümmert und er wohnte mit ihnen zusammen im Dorf B._______. Zudem lebt dort seine jüngere Schwester, mit welcher er seit seiner Ankunft in der Schweiz in telefonischem Kontakt steht. Er verfügt somit über ein tragfähiges soziales Beziehungsnetz. Es ist davon auszugehen, dass er bei einer Rückkehr wieder bei seinen Verwandten wohnen kann und diese ihn bei seiner sozialen und wirtschaftlichen Wiedereingliederung unterstützen werden. Der Vollzug der Wegweisung erweist sich somit auch in individueller Hinsicht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Art. 1-3 des Reglements vom 21. Februar 2008 über die Kosten und Entschädigungen vor dem Bundesverwaltungsgericht [VGKE, SR 173.320.2]). Mit Zwischenverfügung vom 17. April 2018 hiess der Instruktionsrichter indes die Gesuche um Gewährung der unentgeltlichen Prozessführung und Beiordnung einer amtlichen Rechtsbeiständin gut. Dem Beschwerdeführer sind deshalb trotz Unterliegens keine Verfahrenskosten aufzuerlegen.</w:t>
      </w:r>
    </w:p>
    <w:p>
      <w:r>
        <w:rPr>
          <w:b/>
        </w:rPr>
        <w:t>E. 12.2</w:t>
      </w:r>
    </w:p>
    <w:p>
      <w:r>
        <w:t>Die Rechtsvertreterin des Beschwerdeführers reichte eine Honorarnote in der Höhe von Fr. 3'814.65 (inkl. Auslagen und MWST) ein. Aus der Honorarnote ist ersichtlich, dass ein Stundenansatz von Fr. 250.- verrechnet wurde. Das Bundesverwaltungsgericht geht bei amtlicher Vertretung in der Regel von einem Stundenansatz von Fr. 100.- bis Fr. 150.- für eine nichtanwaltliche Vertretung aus (vgl. Art. 12 i.V.m. Art. 10 Abs. 2 VGKE). Die Honorarnote ist entsprechend zu reduzieren. Der amtlichen Rechtsbeiständin ist demnach für ihre Bemühungen zu Lasten des Gerichts ein amtliches Honorar von Fr. 2'307.-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