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E-2345/2025 vom 9. April 2026</w:t>
      </w:r>
    </w:p>
    <w:p>
      <w:r>
        <w:t>Bundesverwaltungsgericht, 2026-04-09, DE</w:t>
      </w:r>
    </w:p>
    <w:p>
      <w:r>
        <w:rPr>
          <w:b/>
        </w:rPr>
        <w:t xml:space="preserve">Quelle: </w:t>
      </w:r>
      <w:r>
        <w:t>https://mcp.opencaselaw.ch/entscheid/bvger_E-2345_2025</w:t>
      </w:r>
    </w:p>
    <w:p>
      <w:r>
        <w:t>FR: TAF E-2345/2025 du 9 avril 2026</w:t>
      </w:r>
    </w:p>
    <w:p>
      <w:r>
        <w:t>IT: TAF E-2345/2025 del 9 aprile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Die Beschwerde ist frist- und nachträglich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 mit nachfolgendem Vorbehalt - einzutreten.</w:t>
      </w:r>
    </w:p>
    <w:p>
      <w:r>
        <w:rPr>
          <w:b/>
        </w:rPr>
        <w:t>E. 1.3</w:t>
      </w:r>
    </w:p>
    <w:p>
      <w:r>
        <w:t>Der vorliegenden Beschwerde kommt von Gesetzen wegen aufschiebende Wirkung zu, weshalb auf die Gesuche um Gewährung der aufschiebenden Wirkung der Beschwerde und um Aussetzung des Vollzugs mangels Notwendigkeit nicht einzutreten ist.</w:t>
      </w:r>
    </w:p>
    <w:p>
      <w:r>
        <w:rPr>
          <w:b/>
        </w:rPr>
        <w:t>E. 2</w:t>
      </w:r>
    </w:p>
    <w:p>
      <w:r>
        <w:t>Die Kognition des Bundesverwaltungsgerichts und die zulässigen Rügen richten sich im Asylbereich nach Art. 106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In der angefochtenen Verfügung hielt das SEM fest, die Vorbringen des Beschwerdeführers, aufgrund der Mitgliedschaft bei der PKK und deren Unterstützung Angst vor staatlichen Repressionen zu haben und zu befürchten, bei einer allfälligen Rückkehr in die Türkei inhaftiert zu werden, seien als nicht asylrelevant zu erachten.</w:t>
      </w:r>
    </w:p>
    <w:p>
      <w:r>
        <w:rPr>
          <w:b/>
        </w:rPr>
        <w:t>E. 5.1.1</w:t>
      </w:r>
    </w:p>
    <w:p>
      <w:r>
        <w:t>Vorab sei in diesem Zusammenhang festzuhalten, dass der Beschwerdeführer in seinem Heimatdorf angeblich zwei Mal von der Polizei mitgenommen worden sei, daraus jedoch weder eine Anklage noch ein Strafverfahren resultiert waren. So habe der Beschwerdeführer selbst angegeben, keine Dokumente erhalten zu haben, welche die geltend gemachten Vorfälle und mögliche nachfolgende Konsequenzen bezeugen würden (vgl. A30 F47; A40 F68, F74). Zudem gehe aus dem eingereichten Schreiben des (...) Strafgerichts hervor, dass weder in den Polizeisystemen noch in den Archiven von UYAP ein Eintrag zu seiner Person zu finden sei. Dieser Umstand lasse nicht auf ein effektives und nachhaltiges behördliches Interesse schliessen. Diese Auffassung werde auch dadurch gestützt, dass der Beschwerdeführer nach der angeblichen zweiten Mitnahme trotz der damaligen Sachumstände bereits nach einer Nacht freigelassen worden sei (vgl. A30 F47).</w:t>
      </w:r>
    </w:p>
    <w:p>
      <w:r>
        <w:rPr>
          <w:b/>
        </w:rPr>
        <w:t>E. 5.1.2</w:t>
      </w:r>
    </w:p>
    <w:p>
      <w:r>
        <w:t>Des Weiteren seien auch nach diesem zweiten Vorfall keine besonderen Massnahmen gegen den Beschwerdeführer ergriffen worden. So habe dieser sich nach eigenen Angaben danach noch etwas mehr als einen Monat lang ohne jegliche weiteren Zwischenfälle problemlos um den Verkauf seines Bauernhofs und der Schafe kümmern können, bevor er dann schliesslich nach C._______ gereist sei (vgl. A30 47). Aus den Akten gehe ebenfalls nicht hervor, dass der Beschwerdeführer in diesem Zeitraum von den Sicherheitsbehörden behelligt worden sei. Zudem sei es ihm und seinem Cousin möglich gewesen, ungehindert von ihrem Heimatdorf nach C._______ zu reisen (A30 F47). Angeblich seien sie zwar während der Busfahrt zweimal von Polizeibeamten kontrolliert und ihre Identität über das System abgefragt worden. Jedoch hätten sie danach ohne Schwierigkeiten weiterreisen können. Dieser Umstand lasse ebenso darauf schliessen, dass kein behördliches Interesse vorgelegen habe, welchem flüchtlingsrechtlich relevante Nachteile resultiert wäre. Auch das eingereichte Schreiben des Dorfvorstehers vermöge diesen Standpunkt nicht zu ändern, zumal es gerade bestätige, dass er und sein Cousin ohne Schwierigkeiten die Reise nach C._______ auf sich hatten nehmen können.</w:t>
      </w:r>
    </w:p>
    <w:p>
      <w:r>
        <w:rPr>
          <w:b/>
        </w:rPr>
        <w:t>E. 5.1.3</w:t>
      </w:r>
    </w:p>
    <w:p>
      <w:r>
        <w:t>Ferner habe der Beschwerdeführer geltend gemacht, auch in C._______ von türkischen Behörden bedroht und geschlagen worden zu sein. Hierbei handle es sich um zwei isolierte Vorfälle, welche er gemeinsam mit seinem Cousin 2022 angeblich erlebt habe. Diese stünden jedoch nicht in einem direkten Zusammenhang, sondern es handle sich um rein zufällige Polizeikontrollen. Hinzu komme, dass der Beschwerdeführer zwischen diesen beiden Vorfällen keinen weiteren Kontakt mit den türkischen Behörden gehabt habe (vgl. A30 F67, F70), was ebenso auf ein fehlendes behördliches Interesse an ihm schliessen lasse.</w:t>
      </w:r>
    </w:p>
    <w:p>
      <w:r>
        <w:rPr>
          <w:b/>
        </w:rPr>
        <w:t>E. 5.1.4</w:t>
      </w:r>
    </w:p>
    <w:p>
      <w:r>
        <w:t>Schliesslich habe der Beschwerdeführer geltend gemacht, die türkischen Strafverfolgungsbehörden hätten dann gegen ihn ein Verfahren wegen Propaganda für eine Terrororganisation eröffnet. Es bestehe ein Vorführbefehl gegen ihn. Diese Vorbringen seien jedoch ebenfalls nicht geeignet, eine Flüchtlingseigenschaft zu begründen. Hierzu wurde hinsichtlich der Straftatbestände der Präsidentenbeleidigung gemäss Art. 299 tStGB und der Propaganda für eine Terrororganisation gemäss Art. 7 Abs. 2 ATG auf das Koordinationsurteil des Bundesverwaltungsgerichts E-4103/2024 E. 8.2-8.8 verwiesen. Ferner sei darauf hinzuweisen, dass das eingereichte Dokument abgesehen von der Nennung des Delikts keinen materiellen Inhalt aufweise, sondern aus standardisierten Bausteinen bestehe. Zudem verfügten diese Dokumente sowie die weiteren eingereichten Dokumente (BM007, BM008, BM009, BM011) über keine (verifizierbaren) Sicherheitsmerkmale. Aufgrund ihrer folglich leichten Fälschbarkeit wiesen diese einen bloss geringen Beweiswert auf. Die Frage, ob es sich hierbei um echte Verfahrensdokumente handle, könne letztlich mit Hinweis auf das Koordinationsurteil des Bundesverwaltungsgerichts E-4103/2024 vom 8. November 2024 im Resultat offen bleiben. Gemäss den eingereichten Beweismitteln sei ein Untersuchungsverfahren wegen Propaganda für eine Terrororganisation gegen den Beschwerdeführer eingeleitet worden und es liege ein entsprechender Vorführbefehl vor. Aus den Beweismitteln sei ersichtlich, dass gegen den Beschwerdeführer ein staats- und anwaltschaftliches Untersuchungsverfahren, indessen (noch) kein Gerichtsverfahren eröffnet worden sei. Es sei zum jetzigen Zeitpunkt offen, ob die Untersuchungen in absehbarer Zeit überhaupt zur Eröffnung eines Gerichtsverfahrens oder einer späteren Verurteilung des Beschwerdeführers aus einem flüchtlingsrechtlich relevanten Motiv führen würden (vgl. in diesem Sinne Koordinationsurteil des BVGer E-4103/2024 vom 17. April 2024 E. 8.2-8.8). Hinsichtlich des eingereichten Vorführbefehls sei festzustellen, dass es sich formell nicht um einen Haftbefehl, sondern um einen Vorführbefehl oder einen Vorführbeschluss handle, dessen Zweck es sei, ihn einzuvernehmen, und ihn danach wieder freizulassen (vgl. Urteil des BVGer E-1472/2024 vom 12. April 2024 E. 6.2; Urteil des BVGer D-994/2024 vom 10. April 2024 E. 6.3). Auch unter Berücksichtigung des geringen Risikoprofils des Beschwerdeführers sei nicht davon auszugehen, dass bei einer allfälligen Rückkehr in die Türkei eine flüchtlingsrechtlich relevante Verfolgung drohen würde.</w:t>
      </w:r>
    </w:p>
    <w:p>
      <w:r>
        <w:rPr>
          <w:b/>
        </w:rPr>
        <w:t>E. 5.1.5</w:t>
      </w:r>
    </w:p>
    <w:p>
      <w:r>
        <w:t>Hinsichtlich der weiteren Vorbringen des Beschwerdeführers, er stamme aus einer politischen Familie, sei in seinem Heimatdorf für die HDP tätig gewesen, sei festzuhalten, dass er als Beweismittel für eine angebliche politische Tätigkeit seiner Familie einzig ein Verhandlungsprotokoll hinsichtlich eines Verfahrens betreffend seines Onkels eingereicht habe. Diesbezüglich sei darauf hinzuweisen, dass das eingereichte Verhandlungsprotokoll aus einem erst laufenden Verfahren stamme, dessen Ausgang unbestimmt sei. Ferner sei anzumerken, dass es sich beim Onkel nicht um einen nahen Familienangehörigen handle und sich aus den Akten auch keine konkreten Anhaltspunkte auf eine rege politische Tätigkeit naher Familienangehörigen ergäben. Im Weiteren gehe aus den Aussagen des Beschwerdeführers nicht hervor, dass er innerhalb der HDP eine exponierte Stellung inngehabt hätte. An dieser Einschätzung würden auch die eingereichten Schreiben der HDP (BM010) und jene eines Anwalts (BM013) nichts ändern. So weise das Schreiben der HDP bloss auf die allgemeine Situation des kurdischen Volkes in der Türkei hin und beziehe sich weder auf die politische Tätigkeit noch auf die vermeintlich erlittenen Nachteile. Im anwaltlichen Schreiben werde zwar auf eine der geltend gemachten Polizeikontrollen und die damit einhergehende Gewalt Bezug genommen, ein Zusammenhang zwischen diesem Zwischenfall und der politischen Tätigkeit des Beschwerdeführers werde darin jedoch nicht hergestellt.</w:t>
      </w:r>
    </w:p>
    <w:p>
      <w:r>
        <w:rPr>
          <w:b/>
        </w:rPr>
        <w:t>E. 5.2</w:t>
      </w:r>
    </w:p>
    <w:p>
      <w:r>
        <w:t>Aus den genannten Gründen sei eine begründete Furcht des Beschwerdeführers vor künftiger Verfolgung zu verneinen.</w:t>
      </w:r>
    </w:p>
    <w:p>
      <w:r>
        <w:rPr>
          <w:b/>
        </w:rPr>
        <w:t>E. 6</w:t>
      </w:r>
    </w:p>
    <w:p>
      <w:r>
        <w:t>In der Laienbeschwerde werden primär die bereits im Rahmen des vorinstanzlichen Verfahrens geltend gemachten Vorbringen wiederholt und im Weiteren behauptet, der Beschwerdeführer habe nachvollziehbar und kohärent dargelegt, dass er in der Türkei aufgrund seiner politischen Gesinnung und seiner Teilnahme an regimekritischen Aktivitäten, wohl staatlichen Repressionen ausgesetzt gewesen sei (zweimalige Mitnahme/Festnahme ohne rechtliche Grundlage, allgemeine Polizeigewalt). Ferner falle ins Gewicht, dass gegen ihn wegen "Propaganda für eine Terrororganisation" angeblich ein staatsanwaltschaftliches Ermittlungsverfahren eingeleitet und ein Vorführbefehl erlassen worden sei. Die ihm zur Last gelegten Delikte - in Verbindung mit seinem kurdischen Hintergrund und der Teilnahme an Demonstrationen - wiesen auf eine konkrete Gefährdung durch die türkischen Sicherheits- und Justizbehörden hin.</w:t>
      </w:r>
    </w:p>
    <w:p>
      <w:r>
        <w:rPr>
          <w:b/>
        </w:rPr>
        <w:t>E. 7.1</w:t>
      </w:r>
    </w:p>
    <w:p>
      <w:r>
        <w:t>Nach Prüfung der Akten gelangt das Bundesverwaltungsgericht zum Schluss, dass die Vorinstanz hinsichtlich der geltend Vorfälle zu Recht darauf geschlossen, dass diese Ereignisse nicht als Ausdruck eines behördlichen, asylrelevanten Interesses am Beschwerdeführer aufgrund politischer Aktivitäten zu deuten sind, sondern diese vielmehr als isolierte Einzelereignisse ohne weitreichendere Folgen (umgehende Freilassung ohne Auflagen, hiernach diesfalls weder Einleitung eines Ermittlungs- noch eines Strafverfahrens, ungehinderte Reise nach C._______ trotz Polizeikontrolle, kein Eintrag in den Archiven von UYAP) zu qualifizieren sind.</w:t>
      </w:r>
    </w:p>
    <w:p>
      <w:r>
        <w:rPr>
          <w:b/>
        </w:rPr>
        <w:t>E. 7.1.1</w:t>
      </w:r>
    </w:p>
    <w:p>
      <w:r>
        <w:t>Bezüglich des weiteren Vorbringens, die türkischen Strafverfolgungsbehörden hätten gegen ihn ein Verfahren wegen Propaganda für eine Terrororganisation eröffnet (und des in diesem Zusammenhang eingereichten Vorführbefehls) ist mit der Vorinstanz darauf hinzuweisen, dass es sich hierbei formell nicht um einen Haftbefehl, sondern um einen Vorführbefehl oder einen Vorführbeschluss handelt, dessen Zweck es ist, ihn einzuvernehmen, und ihn danach wieder freizulassen (vgl. Referenzurteil E-4103/2024 vom 8. November 2024 E. 8). Auch hierzu kann auf die zutreffenden Ausführungen in der angefochtenen Verfügung verwiesen werden, insbesondere mit dem Hinweis auf das geringe politische Profil des Beschwerdeführers. Ein solches ist auch unter den nahen Familienangehörigen des Beschwerdeführers nicht zu erkennen.</w:t>
      </w:r>
    </w:p>
    <w:p>
      <w:r>
        <w:rPr>
          <w:b/>
        </w:rPr>
        <w:t>E. 7.1.2</w:t>
      </w:r>
    </w:p>
    <w:p>
      <w:r>
        <w:t>Zusätzlich sind auch auf die gewählten Ausreisemodalitäten des Beschwerdeführers hinzuweisen. Bezeichnenderweise reiste der Beschwerdeführer völlig legal und über den gemeinhin gut gesicherten Flughafen in C._______ per Flugzeug aus, wo er erfahrungsgemäss mit engmaschigen Personenkontrollen rechnen musste; so dass auch die gewählten Ausreisemodalitäten nicht mit einer objektiven Verfolgungslage und auch nicht mit einer subjektiven Verfolgungsfurcht in Einklang gebracht werden kann.</w:t>
      </w:r>
    </w:p>
    <w:p>
      <w:r>
        <w:rPr>
          <w:b/>
        </w:rPr>
        <w:t>E. 7.1.3</w:t>
      </w:r>
    </w:p>
    <w:p>
      <w:r>
        <w:t>Schliesslich ist darauf hinzuweisen, dass das bloss niederschwellige politische Engagement nach der Einreise in die Schweiz ganz offenkundig nicht als eine Fortsetzung einer bereits im Heimat- oder Herkunftsstaat bestehenden Überzeugung oder Ausrichtung zu deuten wäre (hierzu Art. 3 Abs. 4 AsylG). Entsprechendes dürfte letztlich auch den türkischen Strafverfolgungs- und Justizbehörden bewusst sein.</w:t>
      </w:r>
    </w:p>
    <w:p>
      <w:r>
        <w:rPr>
          <w:b/>
        </w:rPr>
        <w:t>E. 7.1.4</w:t>
      </w:r>
    </w:p>
    <w:p>
      <w:r>
        <w:t>Soweit in allgemein gehaltener Weise Benachteiligungen als Kurde geltend gemacht werden, ist darauf hinzuweisen, dass das Bundesverwaltungsgericht praxisgemäss sehr hohe Anforderungen an die Bejahung einer Kollektivverfolgung (vgl. BVGE 2013/11 E. 5.4.1 m.w.H.) stellt, die im vorliegenden Kontext nicht als erfüllt zu erachten sind, dies auch unter Berücksichtigung der aktuellen politischen Entwicklungen in der Türkei (vgl. dazu statt vieler: Urteile des BVGer E-90/2032 vom 14. März 2023 E. 7.4. wie auch D-33/2022 vom 14. März 2023 E. 6.3.; je m.w.H.).</w:t>
      </w:r>
    </w:p>
    <w:p>
      <w:r>
        <w:rPr>
          <w:b/>
        </w:rPr>
        <w:t>E. 7.2</w:t>
      </w:r>
    </w:p>
    <w:p>
      <w:r>
        <w:t>Vor dem aufgezeigten Hintergrund hat der Beschwerdeführer keine begründete Furcht vor einer asylrelevanten Verfolgung. Das SEM hat zu Recht die Flüchtlingseigenschaft verneint und das Asylgesuch abgelehnt.</w:t>
      </w:r>
    </w:p>
    <w:p>
      <w:r>
        <w:rPr>
          <w:b/>
        </w:rPr>
        <w:t>E. 8.1</w:t>
      </w:r>
    </w:p>
    <w:p>
      <w:r>
        <w:t>Lehnt das Bundesamt das Asylgesuch ab oder tritt es nicht darauf ein, so verfügt es in der Regel die Wegweisung aus der Schweiz und ordnet den Vollzug an; es berücksichtigt dabei den Grundsatz der Einheit der Familie (Art. 44 AsylG).</w:t>
      </w:r>
    </w:p>
    <w:p>
      <w:r>
        <w:rPr>
          <w:b/>
        </w:rPr>
        <w:t>E. 8.2</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Die Wegweisung wurde demnach zu Recht angeordnet (vgl. BVGE 2013/37 E. 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8.3.1</w:t>
      </w:r>
    </w:p>
    <w:p>
      <w:r>
        <w:t>Der Vollzug ist nicht zulässig, wenn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Das SEM weist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dem oben Gesagten gelingt ihnen das nicht.</w:t>
      </w:r>
    </w:p>
    <w:p>
      <w:r>
        <w:rPr>
          <w:b/>
        </w:rPr>
        <w:t>E. 8.3.2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8.3.3</w:t>
      </w:r>
    </w:p>
    <w:p>
      <w:r>
        <w:t>Auch unter Berücksichtigung des Wiederaufflammens des türkisch-kurdischen Konfliktes sowie der bewaffneten Auseinandersetzungen zwischen Kurdischen Arbeiterpartei (PKK) und staatlichen Sicherheitskräften seit Juli 2015 in verschiedenen Provinzen im Südosten des Landes sowie der Entwicklungen nach dem Putschversuch vom Juli 2016 ist gemäss konstanter Praxis des Bundesverwaltungsgerichts - auch für Angehörige der kurdischen Ethnie - nicht von einer Situation allgemeiner Gewalt oder bürgerkriegsähnlichen Verhältnissen in der gesamten Türkei auszugehen (vgl. Referenzurteil des BVGer E-4103/2024 vom 8. November 2024 E. 13.2 m.w.H.).</w:t>
      </w:r>
    </w:p>
    <w:p>
      <w:r>
        <w:rPr>
          <w:b/>
        </w:rPr>
        <w:t>E. 8.3.4</w:t>
      </w:r>
    </w:p>
    <w:p>
      <w:r>
        <w:t>Ferner sprechen auch keine individuellen Gründe gegen einen Vollzug der Wegweisung. Der junge Beschwerdeführer verfügt über ein grosses familiäres Beziehungsnetz und berufliche Erfahrungen.</w:t>
      </w:r>
    </w:p>
    <w:p>
      <w:r>
        <w:rPr>
          <w:b/>
        </w:rPr>
        <w:t>E. 8.3.5</w:t>
      </w:r>
    </w:p>
    <w:p>
      <w:r>
        <w:t>In Bezug auf die gesundheitlichen Aspekte beziehungsweise die mit Eingabe vom 11. Dezember 2025 nachgereichten ärztlichen Berichte hinsichtlich der Rückenschmerzen des Beschwerdeführers ist festzuhalten, dass hierbei offenkundig keine Ausgangslage besteht, welche auf eine medizinisch indizierte Unzumutbarkeit des Wegweisungsvollzugs schliessen liesse. Das türkische Gesundheitssystem weist grundsätzlich westeuropäische Standards auf (vgl. Urteil des BVGer E-1438/2025 vom 14. August 2025, E. 8.2.4.3.). Die bestehenden gesundheitlichen Belange des Beschwerdeführers sind in der Türkei ohne weiteres behandelbar.</w:t>
      </w:r>
    </w:p>
    <w:p>
      <w:r>
        <w:rPr>
          <w:b/>
        </w:rPr>
        <w:t>E. 8.3.6</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