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E-2344/2019 vom 18. Juni 2019</w:t>
      </w:r>
    </w:p>
    <w:p>
      <w:r>
        <w:t>Bundesverwaltungsgericht, 2019-06-18, DE</w:t>
      </w:r>
    </w:p>
    <w:p>
      <w:r>
        <w:rPr>
          <w:b/>
        </w:rPr>
        <w:t xml:space="preserve">Quelle: </w:t>
      </w:r>
      <w:r>
        <w:t>https://mcp.opencaselaw.ch/entscheid/bvger_E-2344_2019</w:t>
      </w:r>
    </w:p>
    <w:p>
      <w:r>
        <w:t>FR: TAF E-2344/2019 du 18 juin 2019</w:t>
      </w:r>
    </w:p>
    <w:p>
      <w:r>
        <w:t>IT: TAF E-2344/2019 del 18 giugno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4.1</w:t>
      </w:r>
    </w:p>
    <w:p>
      <w:r>
        <w:t>Der Beschwerdeführer rügt eine Verletzung des rechtlichen Gehörs. Dabei handelt es sich um eine formelle Rüge, die vorab zu beurteilen ist, da sie allenfalls geeignet sein könnte, eine Kassation der vorinstanzlichen Verfügung zu bewirken.</w:t>
      </w:r>
    </w:p>
    <w:p>
      <w:r>
        <w:rPr>
          <w:b/>
        </w:rPr>
        <w:t>E. 4.2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Der Beschwerdeführer begründet die Rüge der Verletzung des rechtlichen Gehörs damit, die Vorinstanz habe ihm seinen Original-Nüfüs nicht herausgegeben und ihn somit wissentlich daran gehindert, die sachdienlichen Beweismittel erbringen zu können. Zudem sei er zu den betreffenden Punkten nochmals anzuhören. Die Botschaftsabklärung vom 14. November 2018 hat ergeben, dass in der Türkei weder ein Strafverfahren noch ein Haftbefehl gegen den Beschwerdeführer vorliegt und es sich beim Schreiben seines Anwalts vom 16. April 2018 um eine Totalfälschung handelt. Es besteht keine Veranlassung, an der Korrektheit der Ergebnisse der Botschaftsabklärung zu zweifeln. Angesichts dessen ist nicht davon auszugehen, dass der Beschwerdeführer weitere Beweismittel für den Beleg neuer relevanter Erkenntnisse einbringen könnte. Aus den gleichen Gründen ist festzustellen, dass der Sachverhalt als hinreichend erstellt zu erachten ist, weshalb auch der Antrag auf erneute Anhörung des Beschwerdeführers abzuweisen ist. Das rechtliche Gehör ist somit nicht verletzt.</w:t>
      </w:r>
    </w:p>
    <w:p>
      <w:r>
        <w:rPr>
          <w:b/>
        </w:rPr>
        <w:t>E. 4.4</w:t>
      </w:r>
    </w:p>
    <w:p>
      <w:r>
        <w:t>Die formelle Rüge erweist sich in Anbetracht dieser Sachlage als unbegründet, weshalb keine Veranlassung besteht, die Sache aus formellen Gründen aufzuheben und an die Vorinstanz zurückzuweisen. Das diesbezügliche Rechtsbegehren ist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der Beschwerdeführer könne seine angebliche Mitgliedschaft bei der D._______ weder detailliert schildern noch mit Dokumenten belegen. Zu seinen Aufgaben in der Partei habe lediglich der Transport von Personen gehört. Wie oft er diese Aufgabe ausgeführt habe, habe er nicht sagen können. Zudem habe er zur Demonstration vom 1. August 2016 nur dürftige und pauschale Angaben gemacht. Auch auf mehrmaliges Nachfragen hin seien seine Erklärungen zu seinem Einsatz für die D._______ ungenügend geblieben. Über den Besuch der Behörden bei ihm zu Hause am 3. August 2016 habe er nicht ausführlich und realitätsnah berichten können. Seine Beweismittel seien untauglich. Falls er in den sozialen Medien tatsächlich regimekritische "Posts" veröffentlicht habe, so seien ihm deswegen kaum Nachteile erwachsen. Gemäss Abklärungen der Schweizerischen Botschaft in Ankara sei in der Türkei kein Strafverfahren gegen ihn eingeleitet worden und es handle sich bei der von ihm eingereichten Bestätigung eines Anwalts um eine Totalfälschung. Der Wegweisungsvollzug sei zulässig, zumutbar und möglich.</w:t>
      </w:r>
    </w:p>
    <w:p>
      <w:r>
        <w:rPr>
          <w:b/>
        </w:rPr>
        <w:t>E. 6.2</w:t>
      </w:r>
    </w:p>
    <w:p>
      <w:r>
        <w:t>Der Beschwerdeführer bringt vor, nicht jede Parteimitgliedschaft bringe automatisch detaillierte Kenntnisse im Zusammenhang mit der entsprechenden Partei mit sich. Dass er keine Details zur Demonstration habe nennen können und nicht gewusst habe, ob die Demonstration bewilligt gewesen sei, könne nicht als ungenügender Einsatz für die Partei taxiert werden. Betreffend den Polizeieinsatz bei ihm zu Hause sei anzumerken, dass er nicht anwesend gewesen sei. Es stelle sich die Frage, wie etwas nicht selbst Erlebtes und Gesehenes realitätsnah erzählt werden könne. Der Wahrheitsgehalt der Facebook-Auszüge sei offensichtlich gegeben. Er habe erfolglos bei der Vorinstanz um seinen Nüfüs im Original ersucht. Somit habe die Vorinstanz ihn daran gehindert, den Wahrheitsgehalt des anwaltlichen Schreibens über das hängige Strafverfahren in der Türkei beweisen zu können.</w:t>
      </w:r>
    </w:p>
    <w:p>
      <w:r>
        <w:rPr>
          <w:b/>
        </w:rPr>
        <w:t>E. 6.3</w:t>
      </w:r>
    </w:p>
    <w:p>
      <w:r>
        <w:t>Gemäss Botschaftsabklärung vom 14. November 2018 wurde in der Türkei weder eine Ermittlung noch ein Verfahren unter der Nummer 2018/3656 eröffnet. Auch besteht kein Eintrag in der Datenbank. Es liegt ebenfalls kein Festnahme- oder Haftbeschluss vor. Die Ermittlungsnummern der Staatsanwaltschaft in B._______ lagen zur Zeit der Anfrage bei den 2200er Nummern. Beim Schreiben des Anwalts handelt es sich um eine Totalfälschung; der angegebene Anwalt hat erklärt, sein Name und die Kontaktangaben auf dem Schreiben würden übereinstimmen, der Inhalt des Schreibens und die Unterschrift seien jedoch nicht von ihm.</w:t>
      </w:r>
    </w:p>
    <w:p>
      <w:r>
        <w:rPr>
          <w:b/>
        </w:rPr>
        <w:t>E. 6.4</w:t>
      </w:r>
    </w:p>
    <w:p>
      <w:r>
        <w:t>Die Botschaftsabklärung ergab, dass es sich beim Schreiben des türkischen Rechtsanwalts vom 16. April 2018 um eine Fälschung handelt. In der Türkei besteht gegen den Beschwerdeführer weder ein Festnahme- oder Haftbeschluss, noch liegt ein Eintrag in der Datenbank vor. Es gibt keinen Grund, an der Richtigkeit dieser Abklärung zu zweifeln. Der Bescheid des türkischen Anwalts, der Inhalt und die Unterschrift auf dem Schreiben vom 16. April 2018 würden nicht von ihm stammen, bestätigt zudem die Ergebnisse der Botschaftsabklärung. Zwischen den Facebook-Eintragungen vom September 2017 und der Botschaftsabklärung vom 14. November 2018 ist es somit zu keinen Verfolgungshandlungen gekommen. Folglich konnte der Beschwerdeführer nicht glaubhaft darlegen, dass gegen ihn in der Türkei ein Verfahren wegen Mitgliedschaft in einer prokurdischen Oppositionspartei eröffnet worden ist. Ebenso wenig ist die in diesem Zusammenhang vorgebrachte polizeiliche Durchsuchung beim Beschwerdeführer zu Hause glaubhaft. Zudem steht sein Unwissen über die Ausrichtung der Partei und die Höhe der Mitgliederbeiträge der D._______ sowie seine unklaren Angaben über die Häufigkeit der durch ihn durchgeführten Personentransporte für die D._______ im Widerspruch dazu, dass er ein offizielles Mitglied der Partei gewesen sein soll. Dem Beschwerdeführer gelingt es somit auch nicht, seine Mitgliedschaft bei der D._______ glaubhaft darzulegen. Die Vorinstanz hat zu Recht festgestellt, dass er eine Furcht vor künftiger asylrelevanter Verfolgung nicht glaubhaft machen konnte.</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Anhaltspunkte dafür, dass der Beschwerdeführer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Trotz Berücksichtigung des Wiederaufflammens des türkisch-kurdischen Konfliktes sowie der bewaffneten Auseinandersetzungen zwischen der PKK und den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vom 15./16. Juli 2016 ist gemäss konstanter Praxis in der Türkei nicht von einer Situation allgemeiner Gewalt oder bürgerkriegsähnlichen Verhältnissen - auch nicht für Angehörige der kurdischen Ethnie - auszugehen (vgl. Urteile des BVGer E-341/2019 vom 10. April 2019 E. 7.3 und E-2420/2017 vom 8. Mai 2017 E. 6.2). Der Beschwerdeführer ist jung, gesund und arbeitsfähig. Er hat das Gymnasium abgeschlossen und danach in seiner Heimat bei einer Tankstelle und im Supermarkt seines Onkels gearbeitet. Der Beschwerdeführer verfügt über ein soziales Beziehungsnetz in der Türkei und hat Angehörige in der Schweiz, in Frankreich und in England. Es ist davon auszugehen, dass insbesondere die Angehörigen in der Türkei und in der Schweiz ihn bei seiner wirtschaftlichen Wiedereingliederung in der Türkei unterstützen können. So war es dem Beschwerdeführer auch möglich, den Betrag von EUR 5'000.- bis 10'000.- für die Reise in die Schweiz aufzubringen. Der Vollzug erweist sich deshalb auch in individueller Hinsicht als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8.5</w:t>
      </w:r>
    </w:p>
    <w:p>
      <w:r>
        <w:t>Die Vorinstanz hat somit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