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E-2342/2025 vom 9. April 2025</w:t>
      </w:r>
    </w:p>
    <w:p>
      <w:r>
        <w:t>Bundesverwaltungsgericht, 2025-04-09, DE</w:t>
      </w:r>
    </w:p>
    <w:p>
      <w:r>
        <w:rPr>
          <w:b/>
        </w:rPr>
        <w:t xml:space="preserve">Quelle: </w:t>
      </w:r>
      <w:r>
        <w:t>https://mcp.opencaselaw.ch/entscheid/bvger_E-2342_2025</w:t>
      </w:r>
    </w:p>
    <w:p>
      <w:r>
        <w:t>FR: TAF E-2342/2025 du 9 avril 2025</w:t>
      </w:r>
    </w:p>
    <w:p>
      <w:r>
        <w:t>IT: TAF E-2342/2025 del 9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w:t>
      </w:r>
    </w:p>
    <w:p>
      <w:r>
        <w:t>E-2342/2025 Seite 5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Auf die frist- und form- gerecht eingereichte Beschwerde ist somit einzutreten (Art. 108 Abs. 2 AsylG, Art. 48 Abs. 1 sowie Art. 52 Abs. 1 VwVG).</w:t>
      </w:r>
    </w:p>
    <w:p>
      <w:r>
        <w:rPr>
          <w:b/>
        </w:rPr>
        <w:t>E. 1.3</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E-2342/2025 Seite 6</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ihren ablehnenden Asylentscheid im Wesentlichen mit der mangelnden Glaubhaftigkeit der geltend gemachten Vorbringen des Beschwerdeführers. Seine Schilderungen seien insgesamt nicht als erlebnisbasiert zu bezeichnen und seine Antworten seien – mit Ausnahme einer Sequenz zu einem verletzten Jugendlichen, auf dessen Festnahme er verzichtet habe – überwiegend knapp, stereotyp und sub- stanzlos ausgefallen. Seine Ausführungen zu den behaupteten Vorkomm- nissen nach seiner Ausreise seien ebenso stereotyp ausgefallen und es sei ihm nicht gelungen, nachvollziehbar darzulegen, wer ihn – rund 14 Jah- ren nach seiner Ausreise – angeblich weiterhin verfolgen soll. Seine un- substanziierten Ausführungen, wonach seine Familienangehörigen erfah- ren hätten, dass er auf einer Liste der heutigen Justizbehörden stehe, sei nicht geeignet eine objektiv nachvollziehbare Grundlage für seine behaup- tete Verfolgungsgefahr nach vierzehnjähriger Landesabwesenheit zu schaffen. Ausserdem habe er im Jahr 2012 ausdrücklich erklärt, in der Schweiz kein Asylgesuch stellen zu wollen und auch sein nachlässiges Verhalten im Rahmen der deutschen Asylverfahren lege den Schluss nahe, dass er nicht akut verfolgt gewesen sei.</w:t>
      </w:r>
    </w:p>
    <w:p>
      <w:r>
        <w:rPr>
          <w:b/>
        </w:rPr>
        <w:t>E. 5.2</w:t>
      </w:r>
    </w:p>
    <w:p>
      <w:r>
        <w:t>In seinem Rechtsmittel bekräftigte der Beschwerdeführer im Wesentli- chen die Glaubhaftigkeit seiner Schilderungen. Das SEM habe einzelne vage und stereotype Aussagen übermässig stark gewichtet und ausser Acht gelassen, dass er sich konsistent geäussert habe und seine Ausfüh- rungen – wie vom SEM im Zusammenhang mit dem verletzten Jugendli- chen auch eingeräumt worden sei – Realkennzeichen enthalten würden. Das SEM habe in seiner Beurteilung nicht berücksichtigt, dass die Ereig- nisse bereits über zehn Jahre zurücklägen und Personen mit traumatisie- renden Erfahrungen nicht zwingend in der Lage seien, durchgehend detail-</w:t>
      </w:r>
    </w:p>
    <w:p>
      <w:r>
        <w:t>E-2342/2025 Seite 7 reiche und strukturierte Aussagen zu liefern. Seine Befürchtungen vor zukünftiger Verfolgung sei im Länderkontext ebenfalls glaubhaft, zumal er bei seiner Rückkehr aufgrund seiner Clan-Zugehörigkeit ohne Weiteres als Beamter unter dem gestürzten Präsidenten identifizierbar sei. Sowohl die Ermordung seines Bruders als auch die gezielte Zerstörung seines Hauses und die Registrierung bei den Behörden seien schliesslich Ausdruck der anhaltenden Verfolgungsgefahr.</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Vorinstanz hat die Ausführungen des Beschwerdeführers zu Recht als stereotyp, vage und unsubstanziiert qualifiziert. Entgegen seiner Ein- wände auf Beschwerdeebene vermag die Qualität seiner Schilderungen selbst unter Berücksichtigung einer allfälligen Traumatisierung und der rund 13 Jahre, die zwischen den geltend gemachten Ereignissen und sei- ner ersten Anhörung liegen sollen, nicht den Eindruck zu erwecken, es handle sich um persönliche Erlebnisse. Es ist dem Beschwerdeführer auch auf mehrfache Nachfrage und Aufforderung hin nicht gelungen, sein be- hauptetes Engagement in den Reihen einer Art Nachbarschaftswehr über- zeugend und glaubhaft darzulegen. Der Sachverhaltsaspekt zum Jugend- lichen, der sich auf der Flucht vor der Nachbarschaftswehr verletzt habe und den sie eigentlich der Armee hätten aushändigen wollen, scheint zwar im Vergleich mit seinen übrigen Vorbringen wesentlich detaillierter, vermag bei genauerer Betrachtung aber ebenfalls nicht den Eindruck einer erleb- nisbasierten Schilderung zu wecken (vgl. SEM-act. A54 F69 ff.). Insgesamt ist demnach nicht davon auszugehen, der Beschwerdeführer habe sein Heimatland unter den angegeben Umständen verlassen, womit seinen ge- äusserten Befürchtungen vor zukünftiger Verfolgung durch Angehörige von Inhaftierten oder die aktuellen Behörden die Glaubhaftigkeitsgrundlage entzogen ist.</w:t>
      </w:r>
    </w:p>
    <w:p>
      <w:r>
        <w:rPr>
          <w:b/>
        </w:rPr>
        <w:t>E. 6.3</w:t>
      </w:r>
    </w:p>
    <w:p>
      <w:r>
        <w:t>Entgegen der Auffassung des Beschwerdeführers erweist sich der Sachverhalt ausserdem als hinreichend erstellt, zumal seine letztlich unklar definiert gebliebene Rolle in dieser Nachbarschaftsschutzgruppe nicht auf Versäumnisse der Vorinstanz, sondern seine unzureichenden Ausführun- gen zurückzuführen sind (vgl. Beschwerde Rz. 35 S. 9).</w:t>
      </w:r>
    </w:p>
    <w:p>
      <w:r>
        <w:t>E-2342/2025 Seite 8</w:t>
      </w:r>
    </w:p>
    <w:p>
      <w:r>
        <w:rPr>
          <w:b/>
        </w:rPr>
        <w:t>E. 6.4</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E-2342/2025 Seite 9</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nach den vorstehenden Ausführungen nicht. Auch die Menschenrechts- situation im Heimatstaat lässt den Vollzug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äusserte sich im Referenzurteil D-6946/2013 vom 28. März 2018 zur Sicherheitslage in Libyen und kam zum Schluss, dass in weiten Teilen Libyens eine Situation allgemeiner Ge- walt herrsche und dementsprechend der Vollzug der Wegweisung in weite Teile Libyens als unzumutbar zu erachten sei (vgl. a.a.O. E. 6.5.2). Ein Voll- zug der Wegweisung nach Tripolis sei grundsätzlich ebenfalls als unzumut- bar zu erachten und die Zumutbarkeit eines Wegweisungsvollzugs dorthin sei nur ausnahmsweise, beim Vorliegen begünstigender Faktoren, zu be- jahen (vgl. a.a.O. E. 6.5.3).</w:t>
      </w:r>
    </w:p>
    <w:p>
      <w:r>
        <w:t>E-2342/2025 Seite 10</w:t>
      </w:r>
    </w:p>
    <w:p>
      <w:r>
        <w:rPr>
          <w:b/>
        </w:rPr>
        <w:t>E. 8.3.3.1</w:t>
      </w:r>
    </w:p>
    <w:p>
      <w:r>
        <w:t>Bei der bestehenden Aktenlage kann der Argumentation des SEM, wonach beim Beschwerdeführer begünstigende Umstände im Sinn des ge- nannten Referenzurteils vorliegen würden, gefolgt werden. Der Beschwer- deführer vermag dieser Einschätzung mit seinen pauschalen Hinweisen auf die allgemeine Situation in Libyen nichts Stichhaltiges entgegenzuset- zen. Die Schlussfolgerung des SEM vermag auch unter Berücksichtigung seiner Herkunft aus C._______, das etwa (…) Kilometer von Tripolis ent- fernt liegt, zu überzeugen (vgl. diesbezüglich etwa auch Urteile des BVGer D-1559/2025 vom 13. März 2025 und D-6329/2024 vom 21. Oktober 2024). Der Beschwerdeführer verfügt eigenen Angaben zufolge über einen (…) Hochschulabschluss einer libyschen Universität und mehrere Jahre Berufserfahrung in diversen Bereichen (vgl. SEM-act. A46 F38–50). Er steht ausserdem in regelmässigem Kontakt mit seiner Mutter und seinen (…) Geschwistern, die alle in Libyen leben und dort ihren Lebensunterhalt erfolgreich bestreiten (vgl. SEM-act. A54 F22–26). Der Beschwerdeführer war denn auch in der Vergangenheit in der Lage mehrfache Auslandaufent- halte zu beruflichen und touristischen Zwecken zu finanzieren (vgl. SEM- act. A46 F37). Auch in gesundheitlicher Hinsicht steht dem Vollzug der Wegweisung nichts entgegen. Der Beschwerdeführer beklagte sich nach seiner Ankunft in der Schweiz im Spätsommer 2023 zwar über psychische Probleme, verneinte aber in der Folge konkreten Behandlungsbedarf und – mit Ausnahme einer (…)-Allergie – andere gesundheitliche Probleme (vgl. SEM-act. A54 F8–11).</w:t>
      </w:r>
    </w:p>
    <w:p>
      <w:r>
        <w:rPr>
          <w:b/>
        </w:rPr>
        <w:t>E. 8.3.3.2</w:t>
      </w:r>
    </w:p>
    <w:p>
      <w:r>
        <w:t>Das SEM hat schliesslich zu Recht darauf hingewiesen, dass sich aus den Akten eindeutige Hinweise darauf ergeben, dass der Beschwer- deführer in Deutschland wegen Körperverletzung zu einer Haftstrafe von rund eineinhalb Jahren verurteilt wurde und die Anordnung einer vorläufi- gen Aufnahme gemäss der Ausschlussklausel von Art. 83 Abs. 7 Bst. a AIG damit ohnehin ausser Betracht fallen würde (vgl. SEM-act. A15 S. 1, act. A46 F68 f.).</w:t>
      </w:r>
    </w:p>
    <w:p>
      <w:r>
        <w:rPr>
          <w:b/>
        </w:rPr>
        <w:t>E. 8.3.4</w:t>
      </w:r>
    </w:p>
    <w:p>
      <w:r>
        <w:t>Der Vollzug der Wegweisung erweist sich damit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E-2342/2025 Seite 11</w:t>
      </w:r>
    </w:p>
    <w:p>
      <w:r>
        <w:rPr>
          <w:b/>
        </w:rPr>
        <w:t>E. 8.5</w:t>
      </w:r>
    </w:p>
    <w:p>
      <w:r>
        <w:t>Entgegen der Auffassung des Beschwerdeführers in seinem Rechts- mittel ist die Sachverhaltsabklärung auch mit Blick auf die Prüfung allfälli- ger Wegweisungsvollzugshindernisse nicht zu beanstanden (vgl. Be- schwerde Rz. 35 S. 9).</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besteht nach dem Gesagten keine Veranlassung. Die Beschwerde ist abzuweisen, soweit darauf einzutreten ist.</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E-2342/2025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