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E-233/2019 vom 14. Mai 2020</w:t>
      </w:r>
    </w:p>
    <w:p>
      <w:r>
        <w:t>Bundesverwaltungsgericht, 2020-05-14, DE</w:t>
      </w:r>
    </w:p>
    <w:p>
      <w:r>
        <w:rPr>
          <w:b/>
        </w:rPr>
        <w:t xml:space="preserve">Quelle: </w:t>
      </w:r>
      <w:r>
        <w:t>https://mcp.opencaselaw.ch/entscheid/bvger_E-233_2019</w:t>
      </w:r>
    </w:p>
    <w:p>
      <w:r>
        <w:t>FR: TAF E-233/2019 du 14 mai 2020</w:t>
      </w:r>
    </w:p>
    <w:p>
      <w:r>
        <w:t>IT: TAF E-233/2019 del 14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werden verschiedene formelle Rügen erhoben,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zunächst eine Verletzung des rechtlichen Gehörs. Es sei aktenkundig und durch Beweismittel belegt, dass er und mindestens einer seiner (...) (welcher verschollen sei) Tätigkeiten für die LTTE ausgeführt hätten. Die Vorinstanz habe es unterlassen, diese Tatsache anhand der im Referenzurteil festgelegten Risikofaktoren zu prüfen. Die Vorinstanz hat sich in ihrer Verfügung mit den eingereichten Beweismitteln im Zusammenhang mit dem Verschwinden des (...) im Jahre 1996 auseinandergesetzt. Sie hat festgehalten, dass diese nicht auf eine aktuelle Gefährdung des Beschwerdeführers schliessen liessen. Nach einer eingehenden Würdigung seiner Vorbringen ist sie zum Schluss gelangt, dass die geltend gemachte Verfolgung durch die sri-lankischen Behörden nicht glaubhaft sei. In der Folge fiel die Prüfung der Risikofaktoren zwar knapp, aber angesichts der Unglaubhaftigkeit der Vorbringen noch genügend aus. Eine Verletzung des rechtlichen Gehörs liegt nicht vor.</w:t>
      </w:r>
    </w:p>
    <w:p>
      <w:r>
        <w:rPr>
          <w:b/>
        </w:rPr>
        <w:t>E. 5.4</w:t>
      </w:r>
    </w:p>
    <w:p>
      <w:r>
        <w:t>Der Beschwerdeführer rügt weiter eine unvollständige und unrichtige Feststellung des rechtserheblichen Sachverhalts. Zur Begründung verweist er auf die neusten politischen Entwicklungen in Sri Lanka. Indes besteht aus diesem Grund kein Anlass zu einer Rückweisung zur Neubeurteilung der Sache durch die Vorinstanz, da diese im Rahmen des vorliegenden Beschwerdeverfahrens berücksichtigt wird, zumal es sich um ein allgemeines und nicht individuelles Vorbringen handelt.</w:t>
      </w:r>
    </w:p>
    <w:p>
      <w:r>
        <w:rPr>
          <w:b/>
        </w:rPr>
        <w:t>E. 5.5</w:t>
      </w:r>
    </w:p>
    <w:p>
      <w:r>
        <w:t>Die formellen Rügen erweisen sich angesichts dieser Sachlage als unbegründet, weshalb keine Veranlassung besteht,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2012/5 E. 2.2).</w:t>
      </w:r>
    </w:p>
    <w:p>
      <w:r>
        <w:rPr>
          <w:b/>
        </w:rPr>
        <w:t>E. 7.1</w:t>
      </w:r>
    </w:p>
    <w:p>
      <w:r>
        <w:t>Die Vorinstanz gelangt in der angefochtenen Verfügung zum Schluss, die Vorbringen des Beschwerdeführers hielten weder den Anforderungen an das Glaubhaftmachen nach Art. 7 AsylG noch denjenigen an die Flüchtlingseigenschaft gemäss Art. 3 AsylG stand. Anlässlich der BzP habe er ausgeführt, im (...) 2016 hätten sich die sri-lankischen Behörden einmal bei seiner Frau an ihrem Wohnort in D._______ nach ihm erkundigt. Im Widerspruch dazu habe er anlässlich der Anhörung angegeben, diese Nachstellung habe im (...) 2016 stattgefunden. In der BzP habe er nur eine behördliche Suche erwähnt. Demgegenüber habe er an der Anhörung ausgeführt, zwischen (...) und (...) etwa (...) bis (...) Mal gesucht worden zu sein. Nicht nachvollziehbar sei, weshalb er in der Anhörung die Abgabe eines Haftbefehls bestritten habe, um dann am Ende der Anhörung einen Haftbefehl in Kopie einzureichen. Aufgrund dieser Widersprüche würden Zweifel an der Glaubhaftigkeit seiner Vorbringen aufkommen. Ferner sei er nicht in der Lage gewesen, sich zu den angeblichen Suchen zwischen (...) und (...) konkret zu äussern und habe Fragen ungenau beantwortet: Genaue Daten dieser Vorfälle, Schilderung des Vorgehens der Behörden sowie stattgefundene Gespräche zwischen Angehörigen und den Behörden. Seine Aussagen dazu seien allgemein, ausweichend und würden nicht den Eindruck von persönlich Erlebtem vermitteln. Auch zu den angeblichen Behelligungen von Angehörigen nach seiner Ausreise seien seine Aussagen stereotyp und substanzlos ausgefallen. Weiter zeige die Passausstellung und die mehrmals erfolgte legale Ein- und Ausreise im Zusammenhang mit seinem Aufenthalt in E._______, dass nichts gegen ihn vorgelegen habe und er in den Augen der sri-lankischen Behörden als unbescholtener Bürger gegolten habe. Falls tatsächlich eine Verfolgungsabsicht der Behörden im Zusammenhang mit seiner Haft im Jahr 1996 bestanden hätte, wäre er wohl kaum im Jahr (...) freiwillig nach Sri Lanka zurückgekehrt, um sich nach seiner Hochzeit noch weitere (...) Monate dort aufzuhalten. Sodann habe er angegeben, Inhaber einer Firma mit mehreren Angestellten und offiziell in D._______ gemeldet gewesen zu sein. Unter diesen Umständen sei nicht glaubhaft, dass die sri-lankischen Behörden ihn nie hätten aufspüren und festnehmen können. Schliesslich habe er sich im (...) 2016 bei den Behörden in G._______ einen Pass auf seine eigene Identität ausstellen lassen. In dessen Besitz habe er am (...) 2016 Sri Lanka legal über den kontrollierten Grenzübergang am Flughafen Colombo verlassen. Auch dieses Vorgehen passe nicht ins Bild einer zu diesem Zeitpunkt angeblich von den sri-lankischen Behörden gesuchten Person. Zum eingereichten Haftbefehl sei festzuhalten, dass der Beschwerdeführer sich anlässlich der Anhörung nicht konkret dazu habe äussern können. Da das Dokument nur in Kopie vorliege, bestehe die Möglichkeit, daran beliebige Manipulationen vorzunehmen. Auch nicht ersichtlich sei, wer eine offizielle Kopie dieses Dokuments erstellt habe. Zudem sei der Haftbefehl in einer für die sri-lankische Gerichtspraxis unüblichen Sprache abgefasst und enthalte eine untypische beziehungsweise falsche Fallnummer. Aufgrund dieser Ungereimtheiten komme dem Haftbefehl kein Beweiswert zu. Die Anzeige bei der «Human Rights Commission of Sri Lanka» vom (...) 2018 basiere einzig auf den Angaben seiner Ehefrau. Die Anzeige sei somit als Gefälligkeitsschreiben ohne Beweiswert zu qualifizieren. Die weiteren eingereichten Dokumente würden die Nachforschungen im Zusammenhang mit dem Verschwinden seines (...) im Jahr 1996 betreffen. Daraus lasse sich keine aktuelle Gefährdung für den Beschwerdeführer ableiten. Zu Art. 3 AsylG sei festzustellen, dass der Beschwerdeführer nicht habe glaubhaft machen können, vor seiner Ausreise asylrelevanten Verfolgungsmassnahmen ausgesetzt gewesen zu sein. Vielmehr habe er nach Kriegsende noch etwa sieben Jahre in seinem Heimatstaat gelebt. Allfällige, im Zeitpunkt seiner Ausreise bestehende Risikofaktoren hätten folglich kein Verfolgungsinteresse seitens der sri-lankischen Behörden ausgelöst. Somit bestehe kein begründeter Anlass zur Annahme, dass er bei einer Rückkehr nach Sri Lanka mit beachtlicher Wahrscheinlichkeit und in absehbarer Zukunft asylrelevanten Verfolgungsmassnahmen ausgesetzt sein werde.</w:t>
      </w:r>
    </w:p>
    <w:p>
      <w:r>
        <w:rPr>
          <w:b/>
        </w:rPr>
        <w:t>E. 7.2</w:t>
      </w:r>
    </w:p>
    <w:p>
      <w:r>
        <w:t>In der Rechtsmitteleingabe macht der Beschwerdeführer zunächst geltend, das Protokoll der BzP könne nicht als Entscheidgrundlage herangezogen werden, da er ausdrücklich darauf hingewiesen worden sei, sich kurz zu halten. Weiter hält er an der Glaubhaftigkeit seiner Vorbringen fest und führt ergänzend aus, dem Protokoll der Anhörung könne nicht entnommen werden, dass er die Abgabe eines Haftbefehls bestritten haben soll. Sodann sei die Schlussfolgerung des SEM, wonach er keine konkreten Angaben zu den behördlichen Suchen gemacht habe, falsch. Er sei meistens nicht zuhause gewesen, als die Sicherheitsbehörden ihn gesucht hätten, weshalb er keine detaillierten Aussagen dazu machen könne. Hingegen habe er die Suche im (...) 2016, als er zuhause gewesen sei, detailliert und widerspruchsfrei geschildert. Weiter verkenne die Vorinstanz, dass LTTE-Helfer erst nach dem Ende des Bürgerkrieges in den Fokus der Behörden geraten seien, weshalb seine legale Ausreise im Jahr (...) und die Wiedereinreise im Jahr (...) nicht gegen die Glaubhaftigkeit seiner Vorbringen spreche. Auch die legale Ausreise im (...) 2016 schliesse eine Gefährdung nicht per se aus. In fast allen Fällen seien Grenzbeamte des Flughafens durch Bestechung involviert.</w:t>
      </w:r>
    </w:p>
    <w:p>
      <w:r>
        <w:rPr>
          <w:b/>
        </w:rPr>
        <w:t>E. 8.1</w:t>
      </w:r>
    </w:p>
    <w:p>
      <w:r>
        <w:t>Soweit der Beschwerdeführer geltend macht, die BzP könne nicht als Entscheidgrundlage herangezogen werden, ist festzustellen, dass es gemäss ständiger Rechtsprechung zulässig ist, Widersprüche für die Beurteilung der Glaubhaftigkeit heranzuziehen, wenn klare Aussagen in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D-3114/2018 vom 28. Juni 2019 E. 5.1 m.w.H; Entscheidungen und Mitteilungen der ARK [EMARK] 1993 Nr. 3). Die Richtig- und Vollständigkeit seiner Aussagen anlässlich der BzP hat der Beschwerdeführer unterschriftlich bestätigt. Vor diesem Hintergrund besteht kein Anlass, die Aussagen aus der BzP nicht in die Prüfung der Glaubhaftigkeit miteinzubeziehen.</w:t>
      </w:r>
    </w:p>
    <w:p>
      <w:r>
        <w:rPr>
          <w:b/>
        </w:rPr>
        <w:t>E. 8.2</w:t>
      </w:r>
    </w:p>
    <w:p>
      <w:r>
        <w:t>Die vorinstanzliche Beweiswürdigung ist sodann nicht zu beanstanden. Die Vorinstanz hat einlässlich begründet, weshalb die Vorbringen des Beschwerdeführers widersprüchlich, stereotyp, substanzlos und damit insgesamt nicht glaubhaft ausgefallen sind. Zur Anzahl und zum Zeitpunkt der behördlichen Suchen machte er widersprüchliche Aussagen, wobei diesbezüglich vollumfänglich auf die zutreffenden Ausführungen in der angefochtenen Verfügung verwiesen werden kann. Weiter ist festzustellen, dass der Beschwerdeführer zu den Behelligungen keine substantiierten Angaben machen konnte und repetitiv angab, die Behörden seien zu ihm nach Hause gekommen und hätten ihn verhaften wollen. Die Argumentation in der Rechtsmitteleingabe, wonach er nicht zu Hause gewesen sei, weshalb er keine Angaben zu den Vorfällen machen könne, überzeugt nicht. Es wäre von ihm zu erwarten gewesen, dass er sich bei seinen Angehörigen über die Verfolger und Gründe der ausgeübten Repression informiert hätte, zumal es sich um sein zentrales Asylvorbringen handelt. Sodann ist festzustellen, dass er auch zur angeblichen Suche im (...) 2016, anlässlich derer er anwesend gewesen sei, keine konkreten Angaben machen konnte. So führte er aus, seine Mutter habe ihn vor dem Eintreffen der Behörden gewarnt, weshalb er durch den Hintereingang des Hauses geflüchtet und nach G._______ gegangen sei (vgl. SEM-Akten A14/21 F 88 ff.). Ferner hat die Vorinstanz zutreffend ausgeführt, dass schwer vorstellbar sei, dass es den sri-lankischen Behörden nicht gelungen sein soll, eine angeblich seit dem Jahr 1996 gesuchte Person zu verhaften, selbst wenn die Behörden erst nach Beendigung des Bürgerkrieges zu Informationen über den Beschwerdeführer als Helfer gekommen wären. Schliesslich ist festzuhalten, dass der Beschwerdeführer im (...) 2016 einen Pass in G._______ ausstellen liess, um mit diesem Sri Lanka im März 2016 über den streng kontrollierten Flughafen von Colombo zu verlassen. Dies wäre wohl kaum möglich, falls die Behörden tatsächlich ein Interesse an ihm hätten. Sein Erklärungsversuch, wonach der Schlepper wahrscheinlich die Grenzbeamten bestochen habe, vermag nicht zu überzeugen. Bezüglich des eingereichten Haftbefehls ist festzuhalten, dass dieser lediglich in Kopie vorliegt, weshalb ihm ein geringer Beweiswert zukommt. Sodann führte die Vorinstanz zutreffend aus, dass der Beschwerdeführer keine Angaben zum Ausstellungsdatum, zum vorgeworfenen Delikt und der ausstellenden Person machen konnte (vgl. SEM-Akten A14/21 F169 ff.). Weiter sind seine Aussagen, wie er in den Besitz einer Kopie des Haftbefehls gelangen konnte, widersprüchlich ausgefallen. Einerseits führte er aus, die Behörden hätten seinen Angehörigen den Haftbefehl nicht abgegeben (vgl. SEM-Akten A14/21 F126), andererseits sei dieser seinem Vater von einer unbekannten Person übergeben worden (vgl. SEM-Akten A14/21 F163 ff.). Schliesslich ist mit der Vorinstanz festzustellen, dass der Haftbefehl in einer für die sri-lankische Gerichtspraxis unüblichen Sprache ausgefüllt ist und eine untypische Fallnummer enthält. Vor diesem Hintergrund erübrigt sich eine Überprüfung der Authentizität des Haftbefehls durch die Botschaft in Colombo, weshalb der entsprechende Beweisantrag abzuweisen ist.</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Der Beschwerdeführer wurde nach einer kurzen Inhaftierung im Jahr 1996 freigelassen, konnte jedoch nicht glaubhaft machen, dass er in der Folge von den sri-lankischen Behörden belangt wurde. Weder die LTTE-Mitgliedschaft einer (...) noch das Verschwinden des (...) im Jahr 1996 führten zu Problemen für den Beschwerdeführer. Ferner reiste er mehrmals über den Flughafen Colombo ein und aus, ohne dass dabei etwas vorgefallen wäre. Weiter wurde der Beschwerdeführer keiner Straftat angeklagt oder verurteilt und verfügt daher auch nicht über einen Strafregistereintrag. Alleine aus der tamilischen Ethnie und der rund vierjährigen Landesabwesenheit kann er keine Gefährdung ableiten. Dass er in einer "Watch List" aufgeführt ist, kann aufgrund seiner Verhaftung nicht gänzlich ausgeschlossen werden, dürfte aufgrund des Gesagten jedoch wenig wahrscheinlich sein.</w:t>
      </w:r>
    </w:p>
    <w:p>
      <w:r>
        <w:rPr>
          <w:b/>
        </w:rPr>
        <w:t>E. 9.3</w:t>
      </w:r>
    </w:p>
    <w:p>
      <w:r>
        <w:t>Zu den in der Beschwerdeschrift aufgeführten Umständen und Entwicklungen der allgemeinen politischen Lage in Sri Lanka ist festzustellen, dass in keiner Weise erkennbar ist, wie sich diese zum heutigen Zeitpunkt auf den Beschwerdeführer auswirken könnten.</w:t>
      </w:r>
    </w:p>
    <w:p>
      <w:r>
        <w:rPr>
          <w:b/>
        </w:rPr>
        <w:t>E. 9.4</w:t>
      </w:r>
    </w:p>
    <w:p>
      <w:r>
        <w:t>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w:t>
      </w:r>
    </w:p>
    <w:p>
      <w:r>
        <w:rPr>
          <w:b/>
        </w:rPr>
        <w:t>E. 9.5</w:t>
      </w:r>
    </w:p>
    <w:p>
      <w:r>
        <w:t>Zusammenfassend hat die Vorinstanz die Flüchtlingseigenschaft des Beschwerdeführers zu Recht verneint und sein Asylgesuch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11.4.1</w:t>
      </w:r>
    </w:p>
    <w:p>
      <w:r>
        <w:t>Der bewaffnete Konflikt zwischen der sri-lankischen Regierung und den LTTE ist im Mai 2009 zu Ende gegangen. Aktuell herrscht in Sri Lanka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9.3 sowie statt vieler Urteil BVGer E-895/2020 vom 15. April 2020 E. 9.3).</w:t>
      </w:r>
    </w:p>
    <w:p>
      <w:r>
        <w:rPr>
          <w:b/>
        </w:rPr>
        <w:t>E. 11.4.2</w:t>
      </w:r>
    </w:p>
    <w:p>
      <w:r>
        <w:t>Vorliegend sprechen auch keine individuellen Gründe gegen die Zumutbarkeit des Wegweisungsvollzugs. Der Beschwerdeführer lebte zuletzt in D._______, Distrikt C._______, Nordprovinz, wo er ein eigenes Haus besitzt. Seine Ehefrau, seine Kinder, die Eltern und zahlreiche Geschwister leben noch in Sri Lanka, mithin verfügt er in seinem Heimatland über ein bestehendes Beziehungsnetz. Sodann hat er (...) Jahre lang die Schule besucht und als (...) sowie (...) gearbeitet. Zuletzt war er Inhaber eines (...)geschäfts mit mehreren Angestellten. Vor diesem Hintergrund ist davon auszugehen, dass er bei einer Rückkehr von seiner Familie bei der Wiedereingliederung unterstützt werden kann und eine neue Existenz wird aufbauen können. Der Vollzug der Wegweisung erweist sich auch in individueller Hinsicht als zumutbar.</w:t>
      </w:r>
    </w:p>
    <w:p>
      <w:r>
        <w:rPr>
          <w:b/>
        </w:rPr>
        <w:t>E. 11.5</w:t>
      </w:r>
    </w:p>
    <w:p>
      <w:r>
        <w:t>Schliesslich verfügt der Beschwerdeführer über eine Identitätskarte und es obliegt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