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E-2333/2016 vom 1. Mai 2017</w:t>
      </w:r>
    </w:p>
    <w:p>
      <w:r>
        <w:t>Bundesverwaltungsgericht, 2017-05-01, DE</w:t>
      </w:r>
    </w:p>
    <w:p>
      <w:r>
        <w:rPr>
          <w:b/>
        </w:rPr>
        <w:t xml:space="preserve">Quelle: </w:t>
      </w:r>
      <w:r>
        <w:t>https://mcp.opencaselaw.ch/entscheid/bvger_E-2333_2016</w:t>
      </w:r>
    </w:p>
    <w:p>
      <w:r>
        <w:t>FR: TAF E-2333/2016 du 1 mai 2017</w:t>
      </w:r>
    </w:p>
    <w:p>
      <w:r>
        <w:t>IT: TAF E-2333/2016 del 1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3.1</w:t>
      </w:r>
    </w:p>
    <w:p>
      <w:r>
        <w:t>Die Vorinstanz kommt im Wesentlichen zum Schluss, der Beschwerdeführer habe in einem wesentlichen Punkt des Sachverhalts falsche Angaben gemacht, was er gestanden habe. Ferner könne aufgrund seiner Aussagen nicht geglaubt werden, dass er wegen seines älteren Bruders - dessen Asylgesuch mangels Glaubhaftigkeit abgelehnt worden sei - in der vorgetragenen Weise bedroht sei. Schliesslich habe er im Falle einer Rückkehr - trotz entsprechender Faktoren - keine Massnahmen zu befürchten, welche über einen sogenannten Background Check hinausgehen würden.</w:t>
      </w:r>
    </w:p>
    <w:p>
      <w:r>
        <w:rPr>
          <w:b/>
        </w:rPr>
        <w:t>E. 3.2</w:t>
      </w:r>
    </w:p>
    <w:p>
      <w:r>
        <w:t>Auf Beschwerdeeben wird hiergegen im Wesentlichen eingewendet, die Vorinstanz habe nur denjenigen Bruder eruiert und erwähnt, der vorläufig aufgenommen worden sei, nicht aber denjenigen, dem Asyl gewährt worden sei (jüngerer Bruder). Ohne die entsprechende Kenntnis über dieses Asylverfahren, habe die Vorinstanz den Sachverhalt nicht vollständig feststellen und nicht korrekt würdigen können. Aufgrund des anerkannten Risikoprofils dieses Bruders sei der Beschwerdeführer als Familienmitglied ebenfalls gefährdet. Schliesslich könne das Asylgesuch des Beschwerdeführers in der Gesamtbetrachtung nicht als unglaubhaft angesehen werden.</w:t>
      </w:r>
    </w:p>
    <w:p>
      <w:r>
        <w:rPr>
          <w:b/>
        </w:rPr>
        <w:t>E. 3.3</w:t>
      </w:r>
    </w:p>
    <w:p>
      <w:r>
        <w:t>Mit Vernehmlassung vom 10. August 2016 hielt die Vorinstanz im Wesentlichen an ihrem Standpunkt fest und fügte hinzu, dass der Beschwerdeführer in seiner Zweitbefragung keinen Bezug zwischen seiner Bedrohung und der Flucht des jüngeren Bruders dargelegt habe. Sodann sei aufgrund der geschilderten Beziehungen dieses Bruders zur LTTE nicht davon auszugehen, dass die Behörden den Beschwerdeführer wegen seinem Bruder in asylrelevanter Weise belangen würden.</w:t>
      </w:r>
    </w:p>
    <w:p>
      <w:r>
        <w:rPr>
          <w:b/>
        </w:rPr>
        <w:t>E. 3.4</w:t>
      </w:r>
    </w:p>
    <w:p>
      <w:r>
        <w:t>In der Replik wird im Wesentlichen gerügt, dass die Vorinstanz - trotz inzwischen erlangter Kenntnis über das Verfahren des jüngeren Bruders - dennoch keine vertiefte Prüfung in Bezug auf die entsprechende Reflexverfolgung vorgenommen habe.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Staatliche Repressalien gegen Familienangehörige politischer Aktivisten können als sogenannte Reflexverfolgung flüchtlingsrechtlich erheblich im Sinn von Art. 3 AsylG sein. Die Wahrscheinlichkeit, Opfer einer Reflexverfolgung zu werden, besteht vor allem dann, wenn nach einem flüchtigen Familienmitglied gefahndet wird und die Behörde Anlass zur Vermutung hat, dass jemand mit der gesuchten Person in engem Kontakt steht (bereits Entscheidungen und Mitteilungen der Schweizerischen Asylrekurskommission [EMARK] 2005 Nr. 21 E. 10.1).</w:t>
      </w:r>
    </w:p>
    <w:p>
      <w:r>
        <w:rPr>
          <w:b/>
        </w:rPr>
        <w:t>E. 4.3</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4.4</w:t>
      </w:r>
    </w:p>
    <w:p>
      <w:r>
        <w:t>Der Beschwerdeführer hat zwei Brüder in der Schweiz; dem jüngeren (N [...]) wurde Asyl gewährt, dem älteren (N [...]) die vorläufige Aufnahme. Der ältere Bruder wird in der angefochtenen Verfügung nur dahingehend erwähnt, dass dessen Asylgesuch mangels Glaubhaftigkeit abgelehnt worden sei und die Aussagen des Beschwerdeführers in Bezug auf ihn widersprüchlich ausgefallen seien (Beschwerde S. 3). Der jüngere Bruder - dem die Vorinstanz Asyl gewährte - wird indes ohne weitere Präzisierung nur marginal im Sachverhalt erwähnt (angefochtene Verfügung S. 2). Den Akten ist zu entnehmen, dass dieser aufgrund der Angaben des Beschwerdeführers zwar im zentralen Migrationsinformationssystem (ZEMIS) gesucht, aber nicht gefunden wurde (SEM-Akten, A32/1, A12/12, S. 5, Ziff. 3.02). Bis zum Zeitpunkt der Eröffnung der angefochtenen Verfügung sind den vorinstanzlichen Akten keine weiteren Anstrengungen zu entnehmen, die auf eine vertiefte Suche der entsprechenden Person beziehungsweise des entsprechenden Dossiers schliessen lassen würden. Die explizite Aktennotiz vom 6. Januar 2016 - die Suche im ZEMIS des jüngeren Bruders sei erfolglos geblieben - lässt vielmehr darauf schliessen, dass die Vorinstanz ihre Verfügung redigiert hat, ohne zu berücksichtigen, dass dem Bruder Asyl gewährt wurde. Insbesondere im Sri Lanka-Kontext mit LTTE-Bezug ist eine vollständige Abklärung des Sachverhalts ohne Kenntnisse über den entsprechenden Bruder - der Asyl erhalten hat - nicht möglich. Der Hinweis in der Vernehmlassung, der Beschwerdeführer habe keinen Bezug zu diesem Bruder dargelegt, genügt nicht. Die Vorinstanz hat sich mithin nicht mit dem Risiko des Beschwerdeführers auseinandergesetzt, im Falle der Rückkehr nach Sri Lanka Opfer von ernsthaften Nachteilen in Form von Verhaftung und Folter zu werden (vgl. Urteil des BVGer E-1866/2015 vom 15. Juli 2016 E. 8 f. [als Referenzurteil publiziert]). Der Sachverhalt wurde somit unvollständig abgeklärt.</w:t>
      </w:r>
    </w:p>
    <w:p>
      <w:r>
        <w:rPr>
          <w:b/>
        </w:rPr>
        <w:t>E. 4.5</w:t>
      </w:r>
    </w:p>
    <w:p>
      <w:r>
        <w:t>Zusammenfassend ist festzustellen, dass die Vorinstanz den Sachverhalt unvollständig festgestellt und die Begründungspflicht verletzt hat. Damit hat sie Bundesrecht verletzt (vgl. Art. 49 Bst. a und b VwVG; Art. 106 Abs. 1 Bst. a und b AsylG).</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verliert. Vorliegend ist aufgrund der vorstehenden Erwägungen nicht von einer leicht herstellbaren Entscheidreife auszugehen, weshalb ein reformatorischer Entscheid nicht sachdienlich erscheint.</w:t>
      </w:r>
    </w:p>
    <w:p>
      <w:r>
        <w:rPr>
          <w:b/>
        </w:rPr>
        <w:t>E. 5.2</w:t>
      </w:r>
    </w:p>
    <w:p>
      <w:r>
        <w:t>Die Vorinstanz hat im Rückweisungsverfahren den Sachverhalt in Bezug auf das Risikoprofil des Beschwerdeführers unter Einbezug seiner Brüder neu zu würdigen und unter Wahrung der Parteirechte vollständig festzustellen.</w:t>
      </w:r>
    </w:p>
    <w:p>
      <w:r>
        <w:rPr>
          <w:b/>
        </w:rPr>
        <w:t>E. 6</w:t>
      </w:r>
    </w:p>
    <w:p>
      <w:r>
        <w:t>Nach dem Gesagten ist die Beschwerde gutzuheissen. Die angefochtene Verfügung ist in Anwendung von Art. 61 Abs. 1 in fine VwVG aufzuheben und die Sache im Sinne der Erwägungen zur vollständigen und richtigen Sachverhaltsfeststellung an die Vorinstanz zurückzuweisen. Der Antrag auf Beschwerdeergänzung wurde bereits mit Zwischenverfügung vom 6. Dezember 2016 abgewiesen.</w:t>
      </w:r>
    </w:p>
    <w:p>
      <w:r>
        <w:rPr>
          <w:b/>
        </w:rPr>
        <w:t>E. 7.1</w:t>
      </w:r>
    </w:p>
    <w:p>
      <w:r>
        <w:t>Bei diesem Ausgang des Verfahrens sind dem Beschwerdeführer keine Verfahrenskosten aufzuerlegen (Art. 63 Abs. 1 VwVG).</w:t>
      </w:r>
    </w:p>
    <w:p>
      <w:r>
        <w:rPr>
          <w:b/>
        </w:rPr>
        <w:t>E. 7.2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mit Instruktionsverfügung vom 27. Juli 2016 bestellte amtliche Rechtsvertretung reichte eine Kostennote zu den Akten. Diese ist nicht zu beanstanden. Somit ist in Anwendung von Art. 8, 9 und 11 VGKE die Parteientschädigung auf Fr. 2'677.40 (nicht mehrwertsteuerpflichtig) festzusetzen. Die Vorinstanz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