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E-2330/2022 vom 1. Juni 2022</w:t>
      </w:r>
    </w:p>
    <w:p>
      <w:r>
        <w:t>Bundesverwaltungsgericht, 2022-06-01, DE</w:t>
      </w:r>
    </w:p>
    <w:p>
      <w:r>
        <w:rPr>
          <w:b/>
        </w:rPr>
        <w:t xml:space="preserve">Quelle: </w:t>
      </w:r>
      <w:r>
        <w:t>https://mcp.opencaselaw.ch/entscheid/bvger_E-2330_2022</w:t>
      </w:r>
    </w:p>
    <w:p>
      <w:r>
        <w:t>FR: TAF E-2330/2022 du 1 juin 2022</w:t>
      </w:r>
    </w:p>
    <w:p>
      <w:r>
        <w:t>IT: TAF E-2330/2022 del 1 giugno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kann, Frankreich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zwar die Vermutung, Frankreich halte seine völkerrechtlichen Ver- pflichtungen ein, im Einzelfall widerlegt werden kann, es hierfür aber kon- kreter und ernsthafter Hinweise bedarf, die gegebenenfalls vom Betroffe- nen glaubhaft darzutun sind (vgl. BVGE 2010/45 E. 7.4 f.), dass der Beschwerdeführer kein konkretes und ernsthaftes Risiko darge- tan hat, die französischen Behörden würden sich weigern ihn aufzuneh- men und seinen Antrag auf internationalen Schutz unter Einhaltung der Re- geln der erwähnten Richtlinien zu prüfen,</w:t>
      </w:r>
    </w:p>
    <w:p>
      <w:r>
        <w:t>E-2330/2022 Seite 8</w:t>
      </w:r>
    </w:p>
    <w:p>
      <w:r>
        <w:t>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angab, er habe (…) sowie an einer (…) leiden und Medikamente gegen die Schmerzen sowie Schlafmittel einnehmen, dass sich bezüglich des medizinischen Sachverhalts aus den Akten ergibt, dass beim Beschwerdeführer ein (…) vorliegt, der noch abgeklärt werden soll, und dass er sich aufgrund seiner (…) in physiotherapeutischer Be- handlung befindet, dass eine zwangsweise Rückweisung von Personen mit gesundheitlichen Problemen nur ganz ausnahmsweise einen Verstoss gegen Art. 3 EMRK darstellen kann, was insbesondere der Fall ist,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dass ein Verstoss gegen Art. 3 EMRK gemäss neuerer Praxis des EGMR aber auch vorliegen kann,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vorliegend kein ausreichender Anlass zur Annahme besteht, wegen der erwähnten gesundheitlichen Schwierigkeiten des Beschwerdeführers oder aus einem anderen Grund drohe im Falle seiner Überstellung nach Frankreich ein Verstoss gegen Art. 3 EMRK,</w:t>
      </w:r>
    </w:p>
    <w:p>
      <w:r>
        <w:t>E-2330/2022 Seite 9</w:t>
      </w:r>
    </w:p>
    <w:p>
      <w:r>
        <w:t>dass Frankreich im Übrigen über eine ausreichende medizinische Infra- struktur verfügt (vgl. etwa Urteil des BVGer E-1498/2022 vom 5. April 2022 E. 7.2.2.5) und keine Hinweise vorliegen, wonach Frankreich dem Be- schwerdeführer eine medizinische Versorgung verweigern würde, dass dem Beschwerdeführer zugemutet werden kann, in Frankreich seine Rechte in Bezug auf die medizinische Versorgung und sonstige Unterstüt- zung gemäss Art. 19 Aufnahmerichtlinie gegebenenfalls bei den zuständi- gen staatlichen Stellen einzufordern, dass im Übrigen keine Sachverhaltsumstände ersichtlich sind, die in rechtserheblicher Weise gegen eine Überstellung in den für ihn zuständi- gen Dublin-Vertragsstaat sprechen würden, dass dem SEM bei der Anwendung von Art. 29a Abs. 3 AsylV 1 ein Ermes- 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insbesondere nicht im Besitz einer gültigen Aufenthalts- oder Niederlassungsbewilligung ist – in Anwendung von Art. 44 AsylG die Überstellung nach Frankreich angeordnet hat (Art. 32 Abs. 1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folglich abzuweisen ist,</w:t>
      </w:r>
    </w:p>
    <w:p>
      <w:r>
        <w:t>E-2330/2022 Seite 10</w:t>
      </w:r>
    </w:p>
    <w:p>
      <w:r>
        <w:t>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E-2330/2022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