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E-2330/2016 vom 8. Juli 2016</w:t>
      </w:r>
    </w:p>
    <w:p>
      <w:r>
        <w:t>Bundesverwaltungsgericht, 2016-07-08, DE</w:t>
      </w:r>
    </w:p>
    <w:p>
      <w:r>
        <w:rPr>
          <w:b/>
        </w:rPr>
        <w:t xml:space="preserve">Quelle: </w:t>
      </w:r>
      <w:r>
        <w:t>https://mcp.opencaselaw.ch/entscheid/bvger_E-2330_2016</w:t>
      </w:r>
    </w:p>
    <w:p>
      <w:r>
        <w:t>FR: TAF E-2330/2016 du 8 juillet 2016</w:t>
      </w:r>
    </w:p>
    <w:p>
      <w:r>
        <w:t>IT: TAF E-2330/2016 del 8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Eine begründete Furcht vor Verfolgung im Sinne dieser Bestimmung liegt vor, wenn ein konkreter Anlass zur Annahme besteht, die Furcht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Asylentscheids noch aktuell sein. Zudem muss feststehen, dass die von einer Verfolgung bedrohte Person über keine innerstaatliche Schutzalternative verfügt (vgl. zum Ganzen BVGE 2011/51 E. 6; 2011/50 E. 3.1.1 f.; 2008/4 E. 5.2, mit weiteren Hinweisen).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dass die Vorbringen des Beschwerdeführers weder den Anforderungen an die Glaubhaftigkeit nach Art. 7 AsylG genügen noch eine asylrelevante Verfolgung nach Art. 3 AsylG darstellen.</w:t>
      </w:r>
    </w:p>
    <w:p>
      <w:r>
        <w:rPr>
          <w:b/>
        </w:rPr>
        <w:t>E. 5.2.1</w:t>
      </w:r>
    </w:p>
    <w:p>
      <w:r>
        <w:t>Das SEM erachtet zunächst das Zusammentreffen mit den Taliban als unglaubhaft. Es falle auf, dass sich der Beschwerdeführer bei der Schilderung der Vorbringen in Widersprüche verstrickt habe. Unter anderen habe er bei der BzP von vier Männern auf zwei Motorrädern und anschliessend bei der Anhörung von sechs Personen auf drei Motorrädern gesprochen. Auf Vorhalt hin sei es ihm nicht gelungen, eine plausible Erklärung für die abweichende Darstellung zu liefern. Zudem seien seine Ausführungen zu den relevanten Ereignissen vage und schemenhaft geblieben. Seine Aussagen würden keinerlei Realkennzeichen, wie eine detaillierte Schilderung, freies assoziatives Erzählen, Interaktionsschilderungen sowie inhaltliche Besonderheiten, enthalten. In der Beschwerde wird an der Glaubhaftigkeit der Vorbringen festgehalten. Er könne sich den Widerspruch nur damit erklären, dass er sich während der BzP nicht gut gefühlt habe und in einer sehr schlechten psychischen Verfassung gewesen sei. Bei dem Vorfall habe es sich um ein höchst traumatisches Erlebnis gehandelt. Er habe während des Überfalls Todesängste gehabt. Es sei sehr schwierig, sich klar an ein solches Ereignis zu erinnern. Auch habe der Überfall zum Zeitpunkt der BzP schon mehr als ein Jahr zurückgelegen.</w:t>
      </w:r>
    </w:p>
    <w:p>
      <w:r>
        <w:rPr>
          <w:b/>
        </w:rPr>
        <w:t>E. 5.2.2</w:t>
      </w:r>
    </w:p>
    <w:p>
      <w:r>
        <w:t>Der Vorinstanz ist beizupflichten, dass die Vorbringen des Beschwerdeführers äusserst konstruiert wirken. Nebst den fehlenden Realkennzeichen in seinen Schilderungen fehlt es den Ausführungen auch an einer inneren Logik und Nachvollziehbarkeit. So ist es unter anderem nicht plausibel, wieso die Taliban, welche zu viert beziehungsweise zu sechst gewesen sein sollen, seinen Arbeitskollegen angeschossen hätten, den Beschwerdeführer selbst aber gleichzeitig laufen gelassen hätten. Weiter lassen auch weitere Ungereimtheiten an der Glaubhaftigkeit der Vorbringen des Beschwerdeführers zweifeln. So gab er auf Nachfrage hin zu Protokoll, dass er sich nicht über das Schicksal seines Arbeitskollegen habe informieren können, da er seine SIM-Karte mit sämtlichen Kontaktdaten zerstört habe (vgl. A16/18 F89, F90 und F94). Hingegen war es ihm anscheinend durchaus möglich, einen anderen Arbeitskollegen in Kandahar zu kontaktieren, damit dieser ihm Dokumente zuschicken konnte (vgl. A19/17 F115). Ebenfalls sind die zeitlichen Angaben nicht nachvollziehbar, da diese teilweise nur sehr vage und teilweise widersprüchlich sind. So gab er beispielsweise bei der BzP an, dass er am 10. Mai 2012 Afghanistan verlassen habe (vgl. A5/10 Rz. 5.01). Der Überfall soll jedoch erst am 5. Juni 2012 stattgefunden haben (vgl. A5/10 Rz. 7.01). Überdies stimmen auch die Altersangaben seiner Geschwister bei der Befragung und bei der zweiten Anhörung nicht überein (vgl. A5/10 Rz. 3.01 und A19/17 F11). Der Gesamteindruck, der durch die vagen, nicht detaillierten sowie widersprüchlichen Schilderungen entsteht, lässt die Vorbringen des Beschwerdeführers insbesondere zu dem Überfall durch die Taliban und die damit zusammenhängende Flucht unglaubhaft erscheinen. Ebenfalls geht das Bundesverwaltungsgericht mit der Vorinstanz einig, dass das anwaltliche Schreiben als Gefälligkeitsschreiben ohne Beweiswert einzustufen ist, zumal dieses Schreiben auch keine Details über den Vorfall mit den Taliban enthält (vgl. A17).</w:t>
      </w:r>
    </w:p>
    <w:p>
      <w:r>
        <w:rPr>
          <w:b/>
        </w:rPr>
        <w:t>E. 5.3.1</w:t>
      </w:r>
    </w:p>
    <w:p>
      <w:r>
        <w:t>Weiter verneint die Vorinstanz vorliegend auch die Flüchtlingseigenschaft nach Art. 3 AsylG. In Afghanistan würden sich Gruppen von Personen definieren lassen, die aufgrund ihrer Exponiertheit einem erhöhten Risiko einer Verfolgung durch die Taliban ausgesetzt seien. Dazu würden unter anderem Personen gehören, die der afghanischen Regierung oder der internationalen Gemeinschaft nahestehen oder als Unterstützer derselben wahrgenommen würden, sowie westlich orientierte oder der afghanischen Gesellschaftsordnung aus anderen Gründen nicht entsprechende Personen. Bei der Beurteilung entsprechender Risikoprofile gelte es insbesondere das Interesse der Taliban an der betreffenden Person abzuklären, über was für ein Profil die Person verfüge und ob bereits ernsthafte Nachteile erlitten worden seien. Vorliegend könne dem Beschwerdeführer nicht geglaubt werden, dass er im Zusammenhang mit seiner Anstellung als Computerspezialist bei einem lokalen Unternehmen bereits ernsthafte Nachteile erlitten habe, mithin einer Verfolgung durch die Taliban ausgesetzt gewesen sei. Seine Angaben dazu, weshalb die Taliban gerade an ihm ein spezielles Interesse haben sollten, hätten wenig zu überzeugen vermocht. Er habe sich mit dem allgemein gültigen Hinweis darauf begnügt, die Taliban seien stets auf Informanten angewiesen, um Anschläge zu planen. An jungen Leuten würden diese dabei ein spezielles Interesse haben. Darauf angesprochen, ob er in seiner Position denn überhaupt Zugang zu solchen Informationen gehabt habe, seien seine Antworten sehr vage und ausweichend geblieben. Es sei davon auszugehen, dass er seine Verbindung zu den in der Region stationierten Truppen zumindest überspitzt dargestellt habe. Würde tatsächlich ein Austausch in dem vom Beschwerdeführer behaupteten Umfang stattgefunden haben, könne davon ausgegangen werden, dass er dazu einigermassen substantiierte Auskünfte hätte liefern können. Insgesamt verfüge der Beschwerdeführer nicht über ein derartiges Profil, dass von einer Identifikation durch die Taliban ausgegangen werden müsse, welche in absehbarer Zukunft und mit hinlänglicher Wahrscheinlichkeit zu einer asylrelevanten Verfolgung führen würde. Ferner würden die geschilderten Anschläge auf seinen Vater nicht ihn persönlich treffen, sondern eben seinen Vater als offizielle Militärperson. Den Akten seien weiter keine Hinweise zu entnehmen, dass er oder ein anderes Familienmitglied in diesem Zusammenhang irgendwelche Nachteile erlitten hätten oder in Zukunft solche befürchten müssten. Der Beschwerdeführer hingegen hat in der Rechtsmitteleingabe erneut seine Nähe zu den afghanischen nationalen Truppen sowie den ISAF-Truppen betont. Sein Arbeitsort habe sich auf dem Gelände (...) von Kandahar befunden, wo regelmässig Truppen stationiert gewesen seien. Wegen seiner guten Englischkenntnisse habe er ab und zu als Dolmetscher zwischen den Soldaten der afghanischen nationalen Sicherheitskräfte und den ISAF-Truppen fungiert. Allerdings habe sich dies in der Regel auf informelle Treffen wie beispielsweise Pausen oder Freizeitaktivitäten beschränkt. So habe er keinen direkten Einblick in die Tätigkeiten der Truppen gehabt. Er sei aber teilweise über Transporte und Truppenverschiebungen informiert gewesen. Durch seine Tätigkeit bei seinem Arbeitgeber, welcher von einer amerikanischen Unternehmung beauftragt worden sei, sei er ständig in Gefahr gewesen, von den Taliban festgenommen oder gar getötet zu werden. Der Beschwerdeführer verweist diesbezüglich auf die UNHCR-Richtlinien zur Feststellung des internationalen Schutzbedarfs afghanischer Asylsuchender vom 6. August 2013.</w:t>
      </w:r>
    </w:p>
    <w:p>
      <w:r>
        <w:rPr>
          <w:b/>
        </w:rPr>
        <w:t>E. 5.3.2</w:t>
      </w:r>
    </w:p>
    <w:p>
      <w:r>
        <w:t>Die Vorinstanz ist zu Recht zum Schluss gelangt, dass der Beschwerdeführer nicht über ein derartiges Profil verfügt, dass von einer Identifikation durch die Taliban ausgegangen werden müsste, welche in absehbarer Zukunft und mit hinlänglicher Wahrscheinlichkeit zu einer asylrelevanten Verfolgung führen würde. Der Beschwerdeführer hat weder eine Position innerhalb der Unternehmung, bei welcher er über für die Taliban interessante Informationen verfügen würde, noch eine Bedrohung durch die Taliban vor seiner Ausreise glaubhaft darlegen können (vgl. auch E. 5.2.2 hiervor). Überdies sind weder andere Mitarbeiter (vgl. A16/18 F64) noch nach seiner Flucht die Familie durch die Taliban bedroht worden, was wiederum auf das Fehlen einer flüchtlingsrechtlich relevanten Bedrohung schliessen lässt.</w:t>
      </w:r>
    </w:p>
    <w:p>
      <w:r>
        <w:rPr>
          <w:b/>
        </w:rPr>
        <w:t>E. 5.4</w:t>
      </w:r>
    </w:p>
    <w:p>
      <w:r>
        <w:t>Es erübrigt sich an dieser Stelle, noch näher auf die Beschwerdevorbringen sowie die eingereichten Beweismittel einzugehen, da diese an der Gesamtbeurteilung nichts zu ändern vermögen.</w:t>
      </w:r>
    </w:p>
    <w:p>
      <w:r>
        <w:rPr>
          <w:b/>
        </w:rPr>
        <w:t>E. 6</w:t>
      </w:r>
    </w:p>
    <w:p>
      <w:r>
        <w:t>Nach dem Gesagten ist es dem Beschwerdeführer somit nicht gelungen, eine asylrelevante Verfolgungssituation darzutun, weshalb das SEM das Asylgesuch zu Recht abgelehnt hat. Es besteht schliesslich auch keine Veranlassung, die Sache zur Neubeurteilung an die Vorinstanz zurückzuweisen.</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8.2.1</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8.2.2</w:t>
      </w:r>
    </w:p>
    <w:p>
      <w:r>
        <w:t>Der Wegweisungsvollzug kann für Ausländerinnen und Ausländer unzumutbar sein, wenn sie im Heimat- oder Herkunftsstaat konkret gefährdet sind (Art. 83 Abs. 4 AuG). 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zu unterscheiden. Der Vollzug dorthin könne als zumutbar erachtet werden, wenn es sich beim Rückkehrer um einen jungen, gesunden Mann handle, der dort über ein tragfähiges soziales Netz verfüge, das ihn bei der Heimkehr unterstützen könne (BVGE 2011/7 E. 9.9). Diese Praxis hat nach wie vor Gültigkeit (Urteile des BVGer E-3124/2016 vom 17. Juni 2016; D-2086/2016 vom 11. Mai 2016; D-5168/2015 vom 16. November 2015; E-5014/2015 vom 28. Oktober 2015). Zwar ist gegenüber der Lageanalyse in BVGE 2011/7 von einem Anstieg der Anschläge sowie von einer steigenden Kriminalität auszugehen. Insgesamt lässt sich jedoch nicht auf eine Situation allgemeiner Gewalt in Kabul schliessen.</w:t>
      </w:r>
    </w:p>
    <w:p>
      <w:r>
        <w:rPr>
          <w:b/>
        </w:rPr>
        <w:t>E. 8.3</w:t>
      </w:r>
    </w:p>
    <w:p>
      <w:r>
        <w:t>Wie die Vorinstanz zu Recht festgestellt hat, handelt es sich bei dem Beschwerdeführer um einen (...)-jährigen, alleinstehenden und gesunden Mann, welcher eigenen Angaben zufolge in Kabul während mindestens drei Jahren die Schule und anschliessend während vier Jahren das (...) besucht hat (vgl. A16/18 F37 und F116; A19/17 F48 sowie A17) und während dieser Zeit auch in Kabul in einer Wohngemeinschaft gewohnt hat (vgl. A16/18 F114; A19/17 F42 ff.). Das Bundesverwaltungsgericht geht mit der Vorinstanz einig, dass insgesamt der Eindruck entsteht, dass der Beschwerdeführer seine wahren (Familien-)Verhältnisse und insbesondere sein Beziehungsnetz in Kabul zu verschleiern versucht, indem er jegliche Sozialbeziehungen während und nach der Schule beziehungsweise dem Studium in Kabul abstreitet. Die Ausführungen des Beschwerdeführers zu jener Zeit in Kabul sind weder nachvollziehbar noch substanziiert. Um Wiederholungen zu vermeiden, wird diesbezüglich auf die Erwägungen der Vorinstanz verwiesen. In der Annahme der Vorinstanz, dass der Beschwerdeführer in Kabul über ein tragfähiges Beziehungsnetz verfügt, liegt keine Verletzung der Beweiswürdigung vor, sodass die Vorinstanz zu Recht von der Zumutbarkeit des Wegweisungsvollzugs nach Kabul ausgegangen ist.</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