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E-2327/2025 vom 14. Mai 2025</w:t>
      </w:r>
    </w:p>
    <w:p>
      <w:r>
        <w:t>Bundesverwaltungsgericht, 2025-05-14, DE</w:t>
      </w:r>
    </w:p>
    <w:p>
      <w:r>
        <w:rPr>
          <w:b/>
        </w:rPr>
        <w:t xml:space="preserve">Quelle: </w:t>
      </w:r>
      <w:r>
        <w:t>https://mcp.opencaselaw.ch/entscheid/bvger_E-2327_2025</w:t>
      </w:r>
    </w:p>
    <w:p>
      <w:r>
        <w:t>FR: TAF E-2327/2025 du 14 mai 2025</w:t>
      </w:r>
    </w:p>
    <w:p>
      <w:r>
        <w:t>IT: TAF E-2327/2025 del 14 maggio 2025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Gesuch um Wiederherstellung der Beschwerdefrist wird nicht eingetreten.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Auf das Revisionsgesuch betreffend das Urteil E-6726/2024 vom 26. November 2024 wird nicht eingetreten.</w:t>
      </w:r>
    </w:p>
    <w:p>
      <w:r>
        <w:rPr>
          <w:b/>
        </w:rPr>
        <w:t>E. 4</w:t>
      </w:r>
    </w:p>
    <w:p>
      <w:r>
        <w:t>Das Gesuch um Gewährung der unentgeltlichen Prozessführung wird abgewiesen.</w:t>
      </w:r>
    </w:p>
    <w:p>
      <w:r>
        <w:rPr>
          <w:b/>
        </w:rPr>
        <w:t>E. 5</w:t>
      </w:r>
    </w:p>
    <w:p>
      <w:r>
        <w:t>Die Verfahrenskosten von Fr. 2'000.- werden den Gesuchstellenden auferlegt. Dieser Betrag ist innert 30 Tagen ab Versand des Urteils zugunsten der Gerichtskasse zu überweisen.</w:t>
      </w:r>
    </w:p>
    <w:p>
      <w:r>
        <w:rPr>
          <w:b/>
        </w:rPr>
        <w:t>E. 6</w:t>
      </w:r>
    </w:p>
    <w:p>
      <w:r>
        <w:t>Dieses Urteil geht an die Gesuchstellenden, das SEM und die zuständige kantonale Behörde. Der vorsitzende Richter: Der Gerichtsschreiber: Mathias Lanz Kevin Schori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