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E-2323/2008 vom 16. August 2011</w:t>
      </w:r>
    </w:p>
    <w:p>
      <w:r>
        <w:t>Bundesverwaltungsgericht, 2011-08-16, DE</w:t>
      </w:r>
    </w:p>
    <w:p>
      <w:r>
        <w:rPr>
          <w:b/>
        </w:rPr>
        <w:t xml:space="preserve">Quelle: </w:t>
      </w:r>
      <w:r>
        <w:t>https://mcp.opencaselaw.ch/entscheid/bvger_E-2323_2008</w:t>
      </w:r>
    </w:p>
    <w:p>
      <w:r>
        <w:t>FR: TAF E-2323/2008 du 16 août 2011</w:t>
      </w:r>
    </w:p>
    <w:p>
      <w:r>
        <w:t>IT: TAF E-2323/2008 del 16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(Art. 112 Abs. 1 AuG i.V.m. Art. 49 VwVG).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Rechtsmitteleingabe hält der Beschwerdeführer einleitend fest, das BFM habe sein Asylgesuch mangels Glaubhaftigkeit abgelehnt und daher die Asylrelevanz seiner Vorbringen nicht geprüft. Seine Schilderungen seien plausibel. Zur Erklärung gewisser Ungereimtheiten macht er Verständigungsschwierigkeiten mit den Übersetzern geltend (vgl. Beschwerde S. 2 f. und 4). Es sei nicht verständlich, weshalb das BFM seine Ausführungen als zu wenig konkret und detailliert bezeichnet habe. Er könne nun seine Aussagen durch ein Schreiben der Polizei von B._______ vom 6. April 2008 sowie ein gerichtliches Schreiben belegen (Originale mit Übersetzungen mit Eingabe vom 13. Mai 2008 nachgereicht). Zum Zeitraum zwischen dem Ereignis und der Ausreise, der vom BFM als zu kurz bezeichnet worden sei, sowie zum Umstand, dass keine Verhandlungen zwischen den beteiligten Familien geführt worden seien, meint der Beschwerdeführer, diese Elemente würden die entsprechenden Vorbringen nicht unglaubhaft machen. So sei für ihn sofort eine Ausreisemöglichkeit gesucht und innert weniger Tage ein Transport gefunden worden, was so üblich und möglich sei. Zudem hätten die Eltern der Freundin Verhandlungen mit seiner Familie abgelehnt. Die Freundin habe er aus Höflichkeit nie um ihr Alter gefragt. Was ihre Ermordung betreffe, bestehe kein Widerspruch, habe er doch anlässlich der ersten Befragung davon noch nichts gewusst, sondern sei erst vor der kantonalen Anhörung darüber unterrichtet gewesen (vgl. Beschwerde S. 3). Schliesslich macht der Beschwerdeführer geltend, das BFM habe bei der Prüfung der Glaubhaftigkeit die falschen Massstäbe angelegt. Die Wahrscheinlichkeit, dass er die Wahrheit gesagt habe, sei aufgrund seiner Beschwerdevorbringen überwiegend (vgl. Beschwerde S. 4).</w:t>
      </w:r>
    </w:p>
    <w:p>
      <w:r>
        <w:rPr>
          <w:b/>
        </w:rPr>
        <w:t>E. 4.2</w:t>
      </w:r>
    </w:p>
    <w:p>
      <w:r>
        <w:t>Die Erwägungen des BFM in der angefochtenen Verfügung sind als insgesamt zutreffend und nachvollziehbar zu beurteilen. Die in der Beschwerde dagegen erhobenen Einwände vermögen keineswegs zu überzeugen und sind insgesamt vielmehr als unbehelfliche Erklärungsversuche sowie nachträgliche Anpassungen des Sachverhalts zu qualifizieren. Das Bundesverwaltungsgericht kommt nach Durchsicht der Akten zum Schluss, dass die angefochtene Verfügung und ihre einlässliche Begründung einer Prüfung standhalten. Die protokollierten Vorbringen des Beschwerdeführers hinterlassen einen unsubstanziierten, teilweise konstruiert wirkenden Eindruck und weisen auch einen geringen Anteil an so genannten Realitätskennzeichen auf.</w:t>
      </w:r>
    </w:p>
    <w:p>
      <w:r>
        <w:rPr>
          <w:b/>
        </w:rPr>
        <w:t>E. 4.2.1</w:t>
      </w:r>
    </w:p>
    <w:p>
      <w:r>
        <w:t>Bei den angeblichen Verständigungsschwierigkeiten zwischen ihm und dem Dolmetscher anlässlich der Anhörungen hätten einerseits unterschiedliche Dialekte und sein Respekt und seine Angst gegenüber dem älteren Dolmetscher eine Rolle gespielt. Zunächst ist zu bemerken, dass bei den Befragungen je andere Personen die Übersetzungen besorgten und in der Beschwerde nicht substanziiert wird, um welche Person es sich handle. Sodann bemerkt der Beschwerdeführer in der Beschwerde selber, dass die fraglichen Dialekte trotz der Unterschiede nicht grundsätzlich verschieden sind. Es ist nicht davon auszugehen dass es bei der Übersetzung des vom Beschwerdeführer vorgebrachten einfachen Sachverhalts effektiv Probleme gegeben hat. Den Protokollen sind auch die bei Verständigungsschwierigkeiten üblicherweise feststellbaren Hinweise nicht zu entnehmen. Schliesslich wären solche Kommunikationsprobleme wohl auch der bei der Anhörung zu den Asylgründen mitwirkenden Hilfswerksvertretung aufgefallen, die ausdrücklich darauf verzichtet hat, irgendwelche Einwände gegen die Art der Befragung zu Protokoll zu geben. Der Beschwerdeführer hat zum Abschluss beider Befragungen die Vollständigkeit und Richtigkeit der Protokolle bestätigt und zudem angegeben, den jeweiligen Dolmetscher "gut" zu verstehen. Der nachträgliche Versuch der Erklärung der verschiedenen Aussagewidersprüche und Ungereimtheiten ist bei dieser Aktenlage als unbehelflich zu qualifizieren.</w:t>
      </w:r>
    </w:p>
    <w:p>
      <w:r>
        <w:rPr>
          <w:b/>
        </w:rPr>
        <w:t>E. 4.2.2</w:t>
      </w:r>
    </w:p>
    <w:p>
      <w:r>
        <w:t>In Anbetracht der Akten respektive der Anhörungsprotokolle hat das BFM mit Bezug auf die angebliche Liebesaffäre zu Recht auf eine wenig konkrete und detailarme Schilderung der Vorbringen des Beschwerdeführers und auf den auffälligen Mangel an spürbarer persönlicher Betroffenheit und an anderen Realkennzeichen hingewiesen (vgl. angefochtene Verfügung S. 3). An der Einschätzung des BFM, wonach die vorgebrachten Ereignisse konstruiert und nicht selbst erlebt sind, vermögen auch die beiden als Beweismittel eingereichten Dokumente nichts zu ändern. Nicht nur ist die Authentizität dieser Dokumente aufgrund ihres Erscheinungsbilds fragwürdig; sie sind auch inhaltlich mit den Angaben des Beschwerdeführers nicht in Einklang zu bringen (vgl. sogleich).</w:t>
      </w:r>
    </w:p>
    <w:p>
      <w:r>
        <w:rPr>
          <w:b/>
        </w:rPr>
        <w:t>E. 4.2.3</w:t>
      </w:r>
    </w:p>
    <w:p>
      <w:r>
        <w:t>Der Beschwerdeführer wendet in Bezug auf einen entsprechenden Vorhalt des BFM auch ein, er habe vom Tod der Freundin erst in der Zeit zwischen der Befragung im EVZ und der Anhörung beim Kanton erfahren. Deshalb habe er den Tod seiner Freundin nicht schon im EVZ erwähnt. Dieser Darstellung steht entgegen, dass im angeblichen polizeilichen Befragungsprotokoll des Beschwerdeführers vom 21. November 2006 folgende Aussage steht: "Ihre Familie erfuhr es am selben Tag, sie haben sie [...] am gleichen Tag umgebracht. [...] Und ich wiederhole, dass die Familie mir drohte mich auch zu töten".</w:t>
      </w:r>
    </w:p>
    <w:p>
      <w:r>
        <w:rPr>
          <w:b/>
        </w:rPr>
        <w:t>E. 4.2.4</w:t>
      </w:r>
    </w:p>
    <w:p>
      <w:r>
        <w:t>Der Vollständigkeit halber bleibt festzuhalten, dass es sich bei den vom Beschwerdeführer geltend gemachten Asylgründen um ein in der Schweiz geradezu inflationär vorgebrachtes Standardvorbringen kurdisch-nordirakischer Asylbewerber handelt.</w:t>
      </w:r>
    </w:p>
    <w:p>
      <w:r>
        <w:rPr>
          <w:b/>
        </w:rPr>
        <w:t>E. 4.3</w:t>
      </w:r>
    </w:p>
    <w:p>
      <w:r>
        <w:t>Zusammenfassend ist festzustellen, dass der Beschwerdeführer kei­ne Gründe nach Art. 3 AsylG glaubhaft machen oder nachweisen kann. Es erübrigt sich daher, auf die Ausführungen in der Beschwerde weiter einzugehen. Das BFM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6.2</w:t>
      </w:r>
    </w:p>
    <w:p>
      <w:r>
        <w:t>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6.3</w:t>
      </w:r>
    </w:p>
    <w:p>
      <w:r>
        <w:t>Der Vollzug ist nicht zulässig, wenn völkerrechtliche Verpflichtungen der Schweiz einer Weiterreise der Ausländerin oder des Ausländers in den Heimat-, Herkunfts- oder in einen Drittstaat ent­gegenstehen (Art. 83 Abs. 3 AuG).</w:t>
      </w:r>
    </w:p>
    <w:p>
      <w:r>
        <w:rPr>
          <w:b/>
        </w:rPr>
        <w:t>E. 6.3.1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6.3.2</w:t>
      </w:r>
    </w:p>
    <w:p>
      <w:r>
        <w:t>Das BFM wies in der angefochtenen Verfügung zutreffend darauf hin, dass der Grundsatz der Nichtrückschiebung nur Personen schützt, die die Flüchtlingseigenschaft erfüllen. Wie oben festgestellt, erfüllt der Be­schwerdeführer die Flüchtlingseigenschaft nicht. Damit kann das in Art. 5 AsylG ver­an­ker­te Prinzip des flüchtlingsrecht­lichen Non-Re­foule­ments im vor­liegen­den Verfahren keine Anwendung finden. Eine Rück­kehr des Beschwerde­füh­rers in den Nordirak ist demnach unter diesen Aspekt recht­mässig.</w:t>
      </w:r>
    </w:p>
    <w:p>
      <w:r>
        <w:rPr>
          <w:b/>
        </w:rPr>
        <w:t>E. 6.3.3</w:t>
      </w:r>
    </w:p>
    <w:p>
      <w:r>
        <w:t>Weder aus den Aussagen des Beschwerde­führers noch aus den Akten ergeben sich Anhaltspunkte für die Annahme, dass er für den Fall einer Rückkehr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6.3.4</w:t>
      </w:r>
    </w:p>
    <w:p>
      <w:r>
        <w:t>Nach der Praxis des Bundesverwaltungsgerichts lässt schliesslich auch die allgemeine Sicherheits- und Menschenrechtslage in den drei kur­di­schen Provinzen Dohuk, Erbil und Suleimaniya (vgl. hierzu die nach­fol­gen­de Erwägung 6.4), entgegen den Behauptungen des Beschwerde­führers, den Wegweisungsvollzug nicht als unzulässig erscheinen.</w:t>
      </w:r>
    </w:p>
    <w:p>
      <w:r>
        <w:rPr>
          <w:b/>
        </w:rPr>
        <w:t>E. 6.3.5</w:t>
      </w:r>
    </w:p>
    <w:p>
      <w:r>
        <w:t>Nach dem Gesagten ist der Vollzug der Wegweisung sowohl im Sinn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6.4.1</w:t>
      </w:r>
    </w:p>
    <w:p>
      <w:r>
        <w:t>Das Bundesverwaltungsgericht geht gemäss seiner nach wie vor aktuellen Praxis davon aus, dass in den drei kurdischen Provinzen Dohuk, Erbil und Suleimaniya heute keine Situation allgemeiner Gewalt herrscht und die dortige politi­sche Lage nicht dermassen angespannt ist, dass eine Rückführung dort­hin generell als unzumutbar betrachtet werden müsste (vgl. BVGE 2008/5 E. 7.5 S. 65 ff.). Zusammenfassend wird im zitierten Leitentscheid festgehalten,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(vgl. a.a.O., E. 7.5.8).</w:t>
      </w:r>
    </w:p>
    <w:p>
      <w:r>
        <w:rPr>
          <w:b/>
        </w:rPr>
        <w:t>E. 6.4.2</w:t>
      </w:r>
    </w:p>
    <w:p>
      <w:r>
        <w:t>Die Sicherheitslage in den drei kurdischen Provinzen hat sich seit Publikation des erwähnten Urteils nicht verschlechtert, im Gegenteil. In der überwiegen­den Mehrheit der Berichte von Regierungs- und Nichtregierungsorganisa­tionen sowie des UN-Sicherheitsrats wird eine insgesamt stabile Situation beschrieben (vgl. statt vieler Quellen: Amt des Hohen Flüchtlingskom­mis­sars der Vereinten Nationen [UNHCR], Note on the Continued Applicability of the April 2009 UNHCR Eligibility Guidelines for Assessing the International Protection Needs of Iraqi Asylum-See­kers, Juli 2010, S. 2 f.).</w:t>
      </w:r>
    </w:p>
    <w:p>
      <w:r>
        <w:rPr>
          <w:b/>
        </w:rPr>
        <w:t>E. 6.4.3</w:t>
      </w:r>
    </w:p>
    <w:p>
      <w:r>
        <w:t>Der Beschwerdeführer ist ein junger und lediger Mann, soweit aktenkundig ohne gesundheitliche Probleme. Er ist kurdischer Ethnie und Sprache und hat gemäss eigenen Angaben von seiner Geburt bis am 22. November 2006 (Tag vor der Ausreise) in der Provinz Dohuk gelebt. Dort ist auch seine Familie (Eltern, (...) Brüder, (...) Schwestern und (...) Onkel) ansässig. Neben dem familiären Beziehungsnetz dürfte er in der Provinz Dohuk über weitere soziale Anknüpfungspunkte verfügen. Er verfügt über eine ordentliche Schulbildung und war bis zur Ausreise angeblich nicht erwerbstätig. Vorliegend kann aufgrund der Akten davon ausgegangen werden, dass der Beschwerdeführer nach seiner Rückkehr in den Nordirak in der Lage sein wird, sich mit Hilfe seiner Verwandtschaft sowie aufgrund seiner Auslanderfahrung eine tragfähige Existenz aufzubauen. Es ist demnach nicht davon auszugehen, dass er bei seiner Rückkehr in die Heimatstadt aus individuellen Gründen wirtschaftlicher, sozialer oder gesundheitlicher Natur in eine existenzbedrohende Situation geraten würde.</w:t>
      </w:r>
    </w:p>
    <w:p>
      <w:r>
        <w:rPr>
          <w:b/>
        </w:rPr>
        <w:t>E. 6.5</w:t>
      </w:r>
    </w:p>
    <w:p>
      <w:r>
        <w:t>Nach dem Gesagten erweist sich der Vollzug der Wegweisung so­wohl aufgrund der allgemeinen Sicherheitslage in den drei kurdischen Provinzen als auch in individueller Hinsicht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die beantragte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w:t>
      </w:r>
    </w:p>
    <w:p>
      <w:r>
        <w:rPr>
          <w:b/>
        </w:rPr>
        <w:t>E. 9</w:t>
      </w:r>
    </w:p>
    <w:p>
      <w:r>
        <w:t>Dem in der Beschwerde gestellten Gesuch um Gewährung der un­entgeltlichen Rechtspflege gemäss Art. 65 Abs. 1 VwVG kann nicht entsprochen werden: Der Beschwerdeführer ist offenbar seit Mitte 2007 ununterbrochen erwerbstätig und kann deshalb praxisgemäss nicht als bedürftig im Sinn von Art. 65 Abs. 1 VwVG bezeichnet werden. Das Gesuch ist deshalb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