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E-2318/2023 vom 3. April 2023</w:t>
      </w:r>
    </w:p>
    <w:p>
      <w:r>
        <w:t>Bundesverwaltungsgericht, 2023-04-03, DE</w:t>
      </w:r>
    </w:p>
    <w:p>
      <w:r>
        <w:rPr>
          <w:b/>
        </w:rPr>
        <w:t xml:space="preserve">Quelle: </w:t>
      </w:r>
      <w:r>
        <w:t>https://mcp.opencaselaw.ch/entscheid/bvger_E-2318_2023_d20230403</w:t>
      </w:r>
    </w:p>
    <w:p>
      <w:r>
        <w:t>FR: TAF E-2318/2023 du 3 avril 2023</w:t>
      </w:r>
    </w:p>
    <w:p>
      <w:r>
        <w:t>IT: TAF E-2318/2023 del 3 aprile 2023</w:t>
      </w:r>
    </w:p>
    <w:p>
      <w:pPr>
        <w:pStyle w:val="Heading2"/>
      </w:pPr>
      <w:r>
        <w:t>Regeste</w:t>
      </w:r>
    </w:p>
    <w:p>
      <w:r>
        <w:t>Asyl (ohne Wegweisungsvollzug) (beschleunigtes Verfahren) | Asyl (ohne Wegweisungsvollzug) (beschleunigtes Verfahren); Verfügung des SEM vom 3. April 2023</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 treten (Art. 108 Abs. 1 AsylG und Art. 52 Abs. 1 VwVG).</w:t>
      </w:r>
    </w:p>
    <w:p>
      <w:r>
        <w:rPr>
          <w:b/>
        </w:rPr>
        <w:t>E. 1.2</w:t>
      </w:r>
    </w:p>
    <w:p>
      <w:r>
        <w:t>Das Verfahren richtet sich nach dem VwVG und dem VGG, soweit das AsylG nichts anderes bestimmt (Art. 37 VGG und Art. 6 AsylG).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w:t>
      </w:r>
    </w:p>
    <w:p>
      <w:r>
        <w:rPr>
          <w:b/>
        </w:rPr>
        <w:t>E. 2.2</w:t>
      </w:r>
    </w:p>
    <w:p>
      <w:r>
        <w:t>Der Wegweisungsvollzug wurde zugunsten einer vorläufigen Auf- nahme aufgeschoben und bildet deshalb nicht Gegenstand des Beschwer- deverfahrens.</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E-2318/2023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Abs. 1 und 2 AsylG).</w:t>
      </w:r>
    </w:p>
    <w:p>
      <w:r>
        <w:rPr>
          <w:b/>
        </w:rPr>
        <w:t>E. 4.2</w:t>
      </w:r>
    </w:p>
    <w:p>
      <w:r>
        <w:t>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entfernte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Flüchtlingseigenschaft nicht Stand. So könnten zwar namentlich Personen, die mit dem bisherigen Staatsapparat zusammengearbeitet haben – wie auch deren Familienangehörige – von Übergriffen seitens der Taliban</w:t>
      </w:r>
    </w:p>
    <w:p>
      <w:r>
        <w:t>E-2318/2023 Seite 6 betroffen sein. Die Behelligungen könnten in Form von Drohungen und auch Gewaltanwendung – insbesondere im Rahmen von Hausdurchsu- chungen – erfolgen, wobei ein systematisches Vorgehen gegen misslie- bige Personen aktuell jedoch nicht erkennbar sei und keine Anzeichen für eine Kollektivverfolgung früherer Armeeangehöriger und Regierungsmitar- beitender bestünde. Das Bestehen einer begründeten Furcht vor einer flüchtlingsrechtlich relevanten Verfolgung sei deshalb nur bei Vorliegen von besonderen individuellen Umständen gegeben. Somit könne die Einschät- zung des Beschwerdeführers, wonach sämtliche Personen, die für die ehe- malige Regierung gearbeitet haben, unabhängig von ihrer Funktion eine Verfolgung durch die Taliban zu gewärtigen hätten, nicht geteilt werden. Vielmehr müssten zusätzliche Risikofaktoren bestehen, was vorliegend nicht der Fall sei: Der Beschwerdeführer habe selbst angegeben, vor sei- ner Ausreise keinerlei persönliche Probleme mit den Taliban gehabt zu ha- ben. Zudem sei seine Funktion als Trainer von Computeranwendungen nicht als besonders exponiert zu bewerten, wobei überdies nicht erkennbar sei, wie die Taliban von seiner Tätigkeit Kenntnis erhalten hätten. Gemäss seinen eigenen Angaben hätten an den Kursorten zahlreiche Sicherheits- vorkehrungen – mitunter zur Wahrung der Anonymität – bestanden. Soweit seine Befürchtung darauf beruhe, dass die Firma C._______ der Regie- rung die Namen und Wohnorte ihrer Mitarbeitenden habe bekanntgeben müssen und im Zuge des Machtwechsels nicht alle Informationen hätten vernichtet werden können, weshalb die Taliban diese Informationen erhal- ten hätten, handle es sich um eine sehr vage Vermutung. Diese wie auch die Tatsache, dass ein ehemaliger Arbeitskollege von ihm spurlos ver- schwunden sei, stelle keinen objektiv begründeten Anlass zur Annahme, es würde sich mit beachtlicher Wahrscheinlichkeit und in absehbarer Zu- kunft eine asylrelevante Verfolgung verwirklichen, dar.</w:t>
      </w:r>
    </w:p>
    <w:p>
      <w:r>
        <w:rPr>
          <w:b/>
        </w:rPr>
        <w:t>E. 5.2</w:t>
      </w:r>
    </w:p>
    <w:p>
      <w:r>
        <w:t>In der Beschwerdeschrift wird vorab darauf hingewiesen, dass die Vor- instanz die vorgebrachten Fluchtgründe als glaubhaft, jedoch nicht als asylrelevant beurteilt habe. Weiter macht der Beschwerdeführer – unter Verweis auf Quellen zur allgemeinen Lage in Afghanistan – im Wesentli- chen geltend, bei seiner Arbeitstätigkeit handle es sich durchaus um eine sicherheitsrelevante beziehungsweise militärsensible Tätigkeit. Insbeson- dere die geschilderten Sicherheitsvorkehrungen seien ein klares Indiz für die Exponiertheit und Bedeutung seiner Arbeitsstelle. Obwohl er seine Ar- beit unter dem Schutzschirm der NATO und des Verteidigungsministeriums ausgeübt und nicht einmal seiner Familie vom genauen Inhalt erzählt habe, werde ihm von der Vorinstanz vorgehalten, dass es vor der Machtüber- nahme der Taliban keine konkreten Bedrohungen gegen seine Person</w:t>
      </w:r>
    </w:p>
    <w:p>
      <w:r>
        <w:t>E-2318/2023 Seite 7 beziehungsweise eine Vorverfolgung gegeben habe. Es sei indessen nachvollziehbar, dass die Taliban «zu diesen Zeiten» noch keine Kenntnis von seiner Arbeitstätigkeit und keinen Zugriff auf seine Person gehabt hät- ten. Auch die sofortige Reaktion seines Vorgesetzten sowie der (geschei- terte) Versuch, ihn auf eine Evakuierungsliste zu setzen, seien klare Hin- weise, dass es sich bei ihm nicht um einen «normalen Regierungsmitar- beiter» handle. Seit der Machtübernahme seien zudem mehrere seiner ehemaligen Mitarbeitenden (recte: Arbeitskollegen) verschwunden. Dies zeige weiter auf, dass die Liste mit den Mitarbeitenden des (…)-Projekts sehr wahrscheinlich in die Hände der Taliban gelangt sei und die Personen auf der Liste seither von den Taliban verfolgt würden. Schliesslich sei seine ethnische Zugehörigkeit – anders als in der angefochtenen Verfügung – nicht losgelöst, sondern in Kombination mit den bereits genannten Risiko- faktoren zu verurteilen. Auch wenn keine Kollektivverfolgung vorliege, könne nicht abgestritten werden, dass die Taliban die Hazara oft unterdrü- cken und stärker verfolgen würden. Seine ethnische Zugehörigkeit sei ein weiteres profilschärfendes Merkmal.</w:t>
      </w:r>
    </w:p>
    <w:p>
      <w:r>
        <w:rPr>
          <w:b/>
        </w:rPr>
        <w:t>E. 6.1</w:t>
      </w:r>
    </w:p>
    <w:p>
      <w:r>
        <w:t>Es ist zu prüfen, ob dem Beschwerdeführer bei einer hypothetischen Rückkehr in seinen Heimatstaat mit beachtlicher Wahrscheinlichkeit ernst- hafte Nachteile im Sinne von Art. 3 AsylG drohen würden, mithin begrün- dete Furcht vor künftiger Verfolgung besteht.</w:t>
      </w:r>
    </w:p>
    <w:p>
      <w:r>
        <w:rPr>
          <w:b/>
        </w:rPr>
        <w:t>E. 6.2</w:t>
      </w:r>
    </w:p>
    <w:p>
      <w:r>
        <w:t>Nachdem sich die Sicherheitslage in Afghanistan seit Jahren stetig ver- schlechtert hatte (vgl. zur Situation in Kabul bis 2017 das Referenzurteil des BVGer D-5800/2016 vom 13. Oktober 2017 E. 7.3 f.), haben sich die Sicherheitsprobleme nach der Machtergreifung der Taliban im August 2021 zweifellos noch akzentuiert (vgl. dazu die jährlichen Berichte zu Handen der Generalversammlung des Sicherheitsrats der Vereinten Nationen, UNI- TED NATIONS GENERAL ASSEMBLY SECURITY COUNCIL, The situation in Af- ghanistan and its implications for international peace and security, Report oft the Secretary-General, zuletzt am 27. Februar 2023, &lt; https://www.securitycouncilreport.org/atf/cf/%7B65BFCF9B-6D27- 4E9C-8CD3-CF6E4F-F96FF9%-7D/N2305123.pdf &gt;, abgerufen am 27.04.2023). Aus den Länderberichten internationaler Organisationen und Organe zur Situation in Afghanistan geht insbesondere auch hervor, dass Personen mit bestimmten Profilen unter dem Taliban-Regime in Afghanis- tan einem erhöhten Verfolgungsrisiko ausgesetzt sind (vgl. UNITED NA- TIONS HIGH COMMISSIONER FOR REFUGEES [UNHCR], Guidance Note on the International Protection Needs of People Fleeing Afghanistan, Update</w:t>
      </w:r>
    </w:p>
    <w:p>
      <w:r>
        <w:t>E-2318/2023 Seite 8 1, February 2023, Ziff. 16; UNITED NATIONS GENERAL ASSEMBLY SECURITY COUNCIL, The situation in Afghanistan and its implications for international peace and security, Report of the Secretary-General, 27.02.2023, Ziff. II/3.; HUMAN RIGHTS WATCH, World Report 2023 – Afghanistan, &lt; www.hrw.org/world-report/2023/country-chapters/afghanistan &gt;; EURO- PEAN UNION AGENCY FOR ASYLUM [EUAA], Afghanistan – Targeting of Indi- viduals, August 2022, , vgl. ferner EUROPEAN UNION AGENCY FOR ASYLUM [EASO], Afghanistan Country focus – Country of Origin Information Report vom Januar 2022, S. 48 ff., &lt; https://coi.euaa.europa.eu/administra- tion/easo/PLib/2022_01_EASO_COI_Report_Afghanistan_Country_fo- cus.pdf &gt; und Update der Schweizerischen Flüchtlingshilfe [SFH] -Länder- analyse vom 31. Oktober 2021, Afghanistan: Gefährdungsprofile, S. 16 ff., &lt;https://www.fluechtlingshilfe.ch/fileadmin/user_upload/Publikationen/Her- kunftslaenderberichte/Mittlerer_Osten_-_Zentralasien/Afghanistan/2110- 31_AFG_Update_Gefaehrdungsprofile.pdf&gt;, alle abgerufen am 11.05.2023). Die United Nations Assistance Mission in Afghanistan (UNAMA) bestätigte in ihrem jüngsten Bericht zur Sicherheitslage vom Februar 2023 erneut Fälle von aussergerichtlichen Tötungen, willkürlichen Festhaltungen und Verhaftungen, Misshandlungen und Folter von Angehö- rigen der früheren Regierung sowie der früheren Sicherheitskräfte (vgl. UNITED NATIONS GENERAL ASSEMBLY SECURITY COUNCIL, The situation in Afghanistan and its implications for international peace and security, Report oft he Secretary-General, 27. Februar 2023, Ziff. II). Auch das Bundesver- waltungsgericht geht davon aus, dass die Taliban Angehörige der afghani- schen Sicherheitskräfte und der früheren Regierung grundsätzlich als Feinde ihrer Sache betrachten. Dies betrifft allerdings vor allem solche Per- sonen, die sich in besonderer Weise exponiert haben, so dass sie den Ta- liban aufgefallen und in deren Fokus geraten sind (vgl. dies bejahend zum Beispiel die Urteile des BVGer D-6581/2018 vom 27. Februar 2019 E. 5.3.1; D-2161/2021 vom 12. Januar 2022 E. 7.3 und E-4649/2021 vom 15. November 2021 E. 7.4.2, verneint wurde ein entsprechendes Profil un- ter anderem in den Urteilen des BVGer E-5479/2016 vom 7. Juni 2019 E. 5.4 und D-1191/2023 vom 8. Mai 2023 E. 5.2.2).</w:t>
      </w:r>
    </w:p>
    <w:p>
      <w:r>
        <w:rPr>
          <w:b/>
        </w:rPr>
        <w:t>E. 6.3</w:t>
      </w:r>
    </w:p>
    <w:p>
      <w:r>
        <w:t>Im vorliegenden Fall wird in der Beschwerde im Wesentlichen vorge- bracht, der Beschwerdeführer verfüge entgegen der Beurteilung der Vor- instanz über ein asylrelevantes und mithin hohes Risikoprofil. Zur Unter- mauerung des Vorbringens wird namentlich auf die strengen Sicherheits- vorkehrungen während seines Unterrichts sowie auf den Dienstreisen ver- wiesen. Dabei ist jedoch zu berücksichtigen, dass die Sicherheitsvorkeh- rungen wohl in erster Linie gerade nicht dem Beschwerdeführer, sondern</w:t>
      </w:r>
    </w:p>
    <w:p>
      <w:r>
        <w:t>E-2318/2023 Seite 9 den Kursteilnehmenden, namentlich den Mitarbeitenden des Innen- und des Verteidigungsministeriums, galten (vgl. auch die Aussage des Be- schwerdeführers: «Der Unterricht musste in einem sehr sicheren Raum stattfinden, sonst hätten die Teilnehmenden nicht davon profitieren kön- nen.», SEM-Akte […]). Zwar war der Beschwerdeführer somit zumindest zeitweise – während seiner Arbeitseinsätze – in diesem Umfeld zugegen und mithin punktuell möglicherweise einem gewissen Risiko ausgesetzt. Was aber gerade nicht ersichtlich wird, ist – wie von der Vorinstanz zutref- fend festgestellt –, dass der Beschwerdeführer den Taliban beziehungs- weise Drittpersonen im Zusammenhang mit dieser Tätigkeit beziehungs- weise diesen Einsätzen bekannt gewesen wäre. Weiter dürfte seine Expo- niertheit nicht zuletzt auch deshalb als gering einzustufen sein, weil er als Trainer der Computeranwendungen tätig war und somit nicht ersichtlich ist, dass er persönlich und direkt mit sensiblen Daten gearbeitet hätte, sondern vielmehr den damit befassten Mitarbeitenden technische Unterstützung geleistet hat. Diese Tätigkeit lässt ihn insgesamt nicht als integralen Teil der früheren Regierung oder als Person, die der internationalen Gemein- schaft nahesteht oder als deren Unterstützer gilt, erscheinen. Im Übrigen wird in der Beschwerde die Tätigkeit des Beschwerdeführers an sich und mithin deren Exponiertheit auch im Lichte der vorinstanzlichen Ausführun- gen nicht näher substantiiert, sondern stattdessen relativ pauschal auf Ele- mente und Vorfälle verwiesen, die den Beschwerdeführer mehrheitlich in- direkt betreffen. Als weiterer Hinweis für die Exponiertheit des Beschwerdeführers wird im Rechtsmittel angeführt, mehrere seiner ehemaligen Arbeitskollegen seien seit dem Machtwechsel spurlos verschwunden (Beschwerde Pt. 3.3 S. 5 f.). Das Vorbringen wird in der Beschwerde nicht näher substantiiert; in der Anhörung hat der Beschwerdeführer zu Protokoll gegeben, er habe erfahren, dass ein Arbeitskollege im September 2021 spurlos verschwun- den sei, wobei er zu wenig über ihn wisse, weil sie «alle verstreut» worden seien und er die Kontakte verloren habe (SEM-Akte […]). In der Stellung- nahme zum Entscheidentwurf fügte er an, er habe während seines Aufent- halts im Iran von einem guten Freund und Arbeitskollegen von einem wei- teren verschwundenen Arbeitskollegen erfahren. Das Vorbringen ist bereits etwas verwirrlich, da Elemente der beiden angeblich verschwundenen Per- sonen sowie deren Namen beziehungsweise derjenige des informierenden Freundes vermischt zu werden scheinen (SEM-Akte […]; SEM-Akte […]; Beschwerde Pt. 3.3 S. 4 f.). Tatsache ist, dass keinerlei konkrete Informa- tionen zum Verschwinden der beiden Personen vorgebracht werden und mithin auch keine konkreten Hinweise bestehen, dass diese unfreiwillig</w:t>
      </w:r>
    </w:p>
    <w:p>
      <w:r>
        <w:t>E-2318/2023 Seite 10 verschwunden oder ihnen seitens der Taliban etwas angetan worden wäre, zumal auch in der Beschwerde diesbezüglich nichts dargelegt wird. Zu betonen ist auch, dass die Familie des Beschwerdeführers, namentlich seine Mutter, seine Grossmutter, seine zwei Schwestern sowie sein Bruder mit seiner Familie nach wie vor in seinem Heimatdorf B._______ in der Provinz Daykundi wohnhaft sind, wobei der Beschwerdeführer nicht gel- tend macht, dass sie seit dem Machtwechsel – oder zuvor – Probleme mit den Taliban gehabt hätten, die auf ihn zurückzuführen wären (SEM-Akte […]). Nachdem der Beschwerdeführer selbst Quellen vorlegt, gemäss de- nen die Taliban namentlich auf der Suche nach ehemaligen Angehörigen der Sicherheitskräfte und Staatsangestellten deren Familienangehörige bedrohten und missbrauchten und in ganz Afghanistan Hausdurchsuchun- gen durchführten (vgl. Beschwerde Pt. 3.2 S. 3 f.), ist die unbehelligte Exis- tenz seiner Familie ein weiteres Indiz, dass die Taliban kein spezielles In- teresse an seiner Person haben. Schliesslich ist auch ein gewisser Widerspruch darin zu erkennen, dass der Beschwerdeführer einerseits sagt, die Taliban hätten bis zum Zeitpunkt des Machtwechsels aufgrund der strengen Sicherheitsvorkehrungen keine Kenntnis seiner Tätigkeiten haben können (Beschwerde Pt. 3.3 S. 5), an- dererseits vorbringt, die Taliban hätten seit jeher ihre Spione in sämtlichen Ministerien und Ämtern gehabt (SEM-Akte [...]). Damit wäre zudem seine Rolle den Taliban grundsätzlich schon vor der Machtübernahme bekannt gewesen und mithin bei tatsächlichem Interesse an seiner Person schon früh(er) mit Repressalien zu rechnen gewesen, zumal er sich vor dem Machtwechsel ausserhalb seiner Arbeitstätigkeit ohne Sicherheitsmass- nahmen in seiner Provinz aufgehalten habe (SEM-Akte [...]).</w:t>
      </w:r>
    </w:p>
    <w:p>
      <w:r>
        <w:rPr>
          <w:b/>
        </w:rPr>
        <w:t>E. 6.4</w:t>
      </w:r>
    </w:p>
    <w:p>
      <w:r>
        <w:t>Das Gericht gelangt im Lichte des Gesagten – unter Annahme der Glaubhaftigkeit der Vorbringen – zum Schluss, dass der Beschwerdeführer über ein bloss niederschwelliges Risikoprofil verfügt und mithin für ihn keine objektiv begründete Furcht besteht, künftig – bei einer hypotheti- schen Rückkehr in seinen Heimatstaat – ernsthaften Nachteilen im Sinne von Art. 3 Abs. 1 AsylG ausgesetzt zu sein. Daran vermag auch die ethni- sche Zugehörigkeit des Beschwerdeführers nichts zu ändern: Zwar kann diese grundsätzlich geeignet sein, sein Risikoprofil zu schärfen; vorliegend kommt das Gericht in einer Gesamtbetrachtung – namentlich seiner ethni- schen Zugehörigkeit und seiner Arbeitstätigkeit – indessen zum Schluss, er verfüge über kein asylrelevantes Risikoprofil, zumal seine Rolle im Dienst der ehemaligen Regierung nicht so bedeutend gewesen ist, dass</w:t>
      </w:r>
    </w:p>
    <w:p>
      <w:r>
        <w:t>E-2318/2023 Seite 11 davon auszugehen wäre, nach der Machtübernahme durch die Taliban be- stünde unmittelbar Gefahr, Opfer von Vergeltungsakten zu werden.</w:t>
      </w:r>
    </w:p>
    <w:p>
      <w:r>
        <w:rPr>
          <w:b/>
        </w:rPr>
        <w:t>E. 6.5</w:t>
      </w:r>
    </w:p>
    <w:p>
      <w:r>
        <w:t>Zusammenfassend ist festzustellen, dass es dem Beschwerdeführer mit seinen Vorbringen nicht gelungen ist, einen asyl- beziehungsweise flüchtlingsrechtlich bedeutsamen Sachverhalt darzulegen. Die Feststellung der Vorinstanz, er erfülle die Flüchtlingseigenschaft nicht, ist dementspre- chend zu bestätigen. Die Vorinstanz hat das Asylgesuch zu Recht abge- 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Bei diesem Ausgang des Verfahrens wären die Kosten dem Beschwerde- führer aufzuerlegen (Art. 63 Abs. 1 VwVG). Da seine Rechtsbegehren im Zeitpunkt der Beschwerdeerhebung nicht als aussichtslos zu bezeichnen waren und er aufgrund der Aktenlage als bedürftig zu erachten ist, ist ihm die unentgeltliche Prozessführung gemäss Art. 65 Abs. 1 VwVG zu gewäh- ren. Es sind daher keine Verfahrenskosten zu erheben. Das Gesuch um Verzicht auf die Erhebung eines Kostenvorschusses ist gegenstandslos geworden. (Dispositiv nächste Seite)</w:t>
      </w:r>
    </w:p>
    <w:p>
      <w:r>
        <w:t>E-2318/2023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