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E-2309/2018 vom 14. April 2020</w:t>
      </w:r>
    </w:p>
    <w:p>
      <w:r>
        <w:t>Bundesverwaltungsgericht, 2020-04-14, FR</w:t>
      </w:r>
    </w:p>
    <w:p>
      <w:r>
        <w:rPr>
          <w:b/>
        </w:rPr>
        <w:t xml:space="preserve">Quelle: </w:t>
      </w:r>
      <w:r>
        <w:t>https://mcp.opencaselaw.ch/entscheid/bvger_E-2309_2018</w:t>
      </w:r>
    </w:p>
    <w:p>
      <w:r>
        <w:t>FR: TAF E-2309/2018 du 14 avril 2020</w:t>
      </w:r>
    </w:p>
    <w:p>
      <w:r>
        <w:t>IT: TAF E-2309/2018 del 14 aprile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La recourante a qualité pour recourir (art. 48 al. 1 PA). Présenté dans la forme (art. 52 al. 1 PA) et dans le délai (anc. art. 108 al. 1 LAsi) prescrits par la loi, le recours est recevable.</w:t>
      </w:r>
    </w:p>
    <w:p>
      <w:r>
        <w:rPr>
          <w:b/>
        </w:rPr>
        <w:t>E. 1.4</w:t>
      </w:r>
    </w:p>
    <w:p>
      <w:r>
        <w:t>Le Tribunal prend en considération l'état de fait et de droit existant au moment où il statue. Il s'appuie notamment sur la situation prévalant au moment de l'arrêt pour déterminer le bien-fondé - ou non - des craintes alléguées d'une persécution future (cf. ATAF 2014/12 consid. 5.5 s. ; 2009/41 consid. 7.1 ; 2009/29 consid. 5.1 ; 2008/12 consid. 5.2 ; 2008/4 consid. 5.4).</w:t>
      </w:r>
    </w:p>
    <w:p>
      <w:r>
        <w:rPr>
          <w:b/>
        </w:rPr>
        <w:t>E. 2.1</w:t>
      </w:r>
    </w:p>
    <w:p>
      <w:r>
        <w:t>En premier lieu, le Tribunal examine l'allégué de la recourante, selon lequel son audition sur ses données personnelles doit être écartée pour apprécier la vraisemblance de ses motifs d'asile, car elle n'était pas accompagnée d'une personne de confiance lors de cette audition, conformément à l'anc. art. 17 al. 2 et 3 let. b LAsi en lien avec l'anc. art. 7 al. 2 et 2bis de l'ordonnance 1 du 11 août 1999 sur l'asile (OA 1, RS 142.311), alors qu'elle était une mineure non accompagnée.</w:t>
      </w:r>
    </w:p>
    <w:p>
      <w:r>
        <w:rPr>
          <w:b/>
        </w:rPr>
        <w:t>E. 2.2</w:t>
      </w:r>
    </w:p>
    <w:p>
      <w:r>
        <w:t>Ainsi, aux termes de l'anc. art. 17 al. 3 let. b LAsi, les autorités cantonales compétentes désignent immédiatement une personne de confiance chargée de représenter les intérêts des requérants mineurs non accompagnés aussi longtemps que dure le séjour dans un centre d'enregistrement et de procédure si, outre l'audition sommaire visée à l'anc. art. 26 al. 2, des actes de procédure déterminants pour la décision d'asile y sont accomplis. On en déduit, a contrario, que l'audition sommaire d'un mineur non accompagné, lorsqu'elle a lieu avant la désignation d'une personne de confiance, n'est pas un acte de procédure déterminant pour la décision d'asile (cf. arrêt du Tribunal E-6368/2016 du 26 avril 2018, consid. 2.5.3). La qualité de mineur d'un requérant d'asile non accompagné impose au SEM de respecter certaines exigences dans l'instruction de la demande d'asile. En particulier, l'audition doit se dérouler en présence de son tuteur, dans un climat de confiance et avec des questions adaptées à son âge (cf. ATAF 2014/30 consid. 2.3).</w:t>
      </w:r>
    </w:p>
    <w:p>
      <w:r>
        <w:rPr>
          <w:b/>
        </w:rPr>
        <w:t>E. 2.3</w:t>
      </w:r>
    </w:p>
    <w:p>
      <w:r>
        <w:t>En l'occurrence, une curatelle en faveur de la recourante a été instituée par décision du Juge de Paix du 21 septembre 2017, soit postérieurement à l'audition sur les données personnelles, qui s'est déroulée, le 4 septembre précédent. Dès lors, force est de constater l'absence évidente du curateur de la recourante lors de sa première audition, alors qu'elle était une mineure non accompagnée. De plus, bien que figure à la première page du procès-verbal de cette audition l'éventuelle présence d'un représentant, sous la forme d'une phrase-type, il n'est cependant pas établi qu'il en a été ainsi, en l'absence de la signature d'un quelconque représentant à la fin de ce procès-verbal (cf. p. 10). Dans ces conditions, seule la seconde audition constitue un acte de procédure déterminant pour la décision d'asile, comme développé plus haut. Ainsi, pour cette raison déjà, le SEM n'était pas fondé à comparer les déclarations faites par la recourante lors de ses deux auditions pour en déduire l'omission, lors de la première, d'évoquer certains motifs d'asile et retenir leur invraisemblance au sens de l'art. 7 LAsi. Pour la suite, le Tribunal ne tiendra donc pas compte de la première audition de l'intéressée dans l'appréciation de la vraisemblance de ses déclarations.</w:t>
      </w:r>
    </w:p>
    <w:p>
      <w:r>
        <w:rPr>
          <w:b/>
        </w:rPr>
        <w:t>E. 2.4</w:t>
      </w:r>
    </w:p>
    <w:p>
      <w:r>
        <w:t>A cela s'ajoute le fait que le caractère tardif de l'allégation d'un viol ne fonde pas en soi son invraisemblance (cf. ATAF 2009/51 consid. 4.2.3 ; arrêt du Tribunal E-3953/2016 du 22 août 2019, consid. 6.9). A cet égard, il est relevé que la recourante a déclaré ne pas avoir osé parler des viols au cours de sa première audition (cf. procès-verbal [ci-après : p-v] de l'audition sur les motifs, Q235). Son curateur et sa mandataire ont aussi indiqué qu'elle n'avait pu évoquer les viols dont elle a été victime uniquement en février 2018, ce qui est corroboré par le rapport médical du 26 juin 2018, attestant qu'elle a été adressée en pédopsychiatrie, le 8 février 2018 (cf. let. E et I ci-dessus ; p-v de l'audition sur les motifs, p. 21).</w:t>
      </w:r>
    </w:p>
    <w:p>
      <w:r>
        <w:rPr>
          <w:b/>
        </w:rPr>
        <w:t>E. 2.5</w:t>
      </w:r>
    </w:p>
    <w:p>
      <w:r>
        <w:t>Fort de ce constat, le Tribunal estime ne pas pouvoir se fonder sur la première audition de la recourante pour en tirer des éléments parlant en défaveur de la vraisemblance des événements allégués. Compte tenu des considérants qui précèdent, le Tribunal écarte le procès-verbal de l'audition sur les données personnelles de la recourante dans l'examen de ses motifs d'asile sous l'angle de l'art. 7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2013/11 consid. 5.1 et réf. cit. ; 2010/44 consid. 3.4 ; 2008/34 consid. 7.1 ; 2008/12 consid. 5.1).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 2010/44 consid. 3.3 s.).</w:t>
      </w:r>
    </w:p>
    <w:p>
      <w:r>
        <w:rPr>
          <w:b/>
        </w:rPr>
        <w:t>E. 3.3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 cf. ATAF 2011/50 consid. 3.1.2.2) ou matériel (changement objectif de circonstances entre la fin de la persécution alléguée et le moment du prononcé de la décision sur la demande d'asile).</w:t>
      </w:r>
    </w:p>
    <w:p>
      <w:r>
        <w:rPr>
          <w:b/>
        </w:rPr>
        <w:t>E. 3.4</w:t>
      </w:r>
    </w:p>
    <w:p>
      <w:r>
        <w:t>Quiconque demande l'asile (requérant) doit prouver ou du moins rendre vraisemblable qu'il est un réfugié. La qualité de réfugié est vraisemblable lorsque l'autorité estime que celle-ci est hautement probable.</w:t>
      </w:r>
    </w:p>
    <w:p>
      <w:r>
        <w:rPr>
          <w:b/>
        </w:rPr>
        <w:t>E. 3.4.1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3.4.2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4.1</w:t>
      </w:r>
    </w:p>
    <w:p>
      <w:r>
        <w:t>En l'occurrence, l'asile a été refusé à la recourante, le SEM estimant que ses allégations au sujet de sa détention de mars 2016 ainsi que des viols commis par son beau-père étaient invraisemblables, d'abord car invoqués tardivement, puisque la recourante ne les avait pas fait valoir au cours de sa première audition, sans explication convaincante. Ensuite, le SEM a considéré que la recourante avait tenu des propos contradictoires concernant la durée de sa détention et le laps de temps écoulé entre la décision judiciaire d'acquittement et sa libération effective. Enfin, il a jugé que ses déclarations portant sur les discriminations, la détention, les viols et les circonstances de son départ étaient vagues, non circonstanciées et stéréotypées, de sorte qu'elles ne pouvaient être tenues pour fondées. Par ailleurs, il a estimé que les coups et les brimades dont aurait fait l'objet la recourante en raison de son appartenance à un clan minoritaire ne revêtaient pas une intensité suffisante pour être déterminants au sens de l'art. 3 al. 2 LAsi. Il a rappelé la jurisprudence du Tribunal (arrêt D-5447/2017 [recte : D-5447/2016] du 7 novembre 2017), d'après laquelle la seule appartenance à un clan minoritaire somalien ne suffisait pas pour la reconnaissance de la qualité de réfugié, puisque les discriminations d'ordre social et économique, ainsi que les vexations à l'égard des membres de cette minorité, ne remplissaient pas les exigences très élevées d'une persécution collective. A l'appui de son recours, l'intéressée fait d'abord valoir que l'audition sur les données personnelles doit être écartée. Ainsi, sur la base de sa seule audition sur les motifs, elle estime avoir rendu les viols et les maltraitances infligées par son beau-père vraisemblables. Elle invoque risquer de sérieux préjudices en cas de retour en raison de l'absence de protection de la part des autorités somaliennes contre les actes de son beau-père, vu sa qualité de femme seule, appartenant à un clan minoritaire.</w:t>
      </w:r>
    </w:p>
    <w:p>
      <w:r>
        <w:rPr>
          <w:b/>
        </w:rPr>
        <w:t>E. 4.2</w:t>
      </w:r>
    </w:p>
    <w:p>
      <w:r>
        <w:t>Le Tribunal considère, contrairement au SEM, que les propos de la recourante au sujet des problèmes qu'elle aurait rencontrés avec son beau-père sont vraisemblables. D'abord, le récit de la recourante comporte de nombreux éléments qui relèvent du vécu et il s'en dégage une forte impression de vraisemblance. Les viols, tels que relatés, sont plausibles et ne comportent pas de contradiction ni d'incohérence. De même, les circonstances dans lesquelles ils se sont déroulés sont vraisemblables. Ainsi, il ressort des déclarations de celle-ci que les sévices infligés par son beau-père, sous forme d'attouchements sexuels et de viols répétés, ont commencé deux ans avant son départ, c'est-à-dire en novembre 2014 environ, alors qu'elle n'était âgée que de (...) ans et demi. Durant les sept mois qui suivirent, soit jusqu'en juin 2015, elle a affirmé avoir été violée à six reprises par son beau-père. Ces agressions ont eu lieu au domicile familial, lorsque sa mère était absente. Interrogée au sujet du déroulement du premier viol, elle a décrit, avec précision, que (...). Elle pleurait beaucoup après l'agression, alors que lui, prenait une douche et sortait. Elle a précisé que le même mode opératoire s'était répété lors de cinq autres viols qui suivirent. Invitée à détailler le dernier viol, elle a ajouté qu'elle l'avait d'abord repoussé et mordu, avant de déclarer qu'il l'avait ensuite, comme les fois précédentes, giflée, déshabillée puis violée. Elle a insisté sur son incapacité à se défendre, vu son jeune âge et son manque de force physique évidente par rapport à son beau-père. Ensuite, la recourante a décrit de manière précise et spontanée ses conditions de vie, sa solitude et son grand mal-être. Concrètement, elle a réitéré à de nombreuses reprises ne s'être pas sentie en sécurité à la maison et ne pas pouvoir trouver refuge ailleurs, compte tenu notamment du fait qu'elle n'avait que très peu d'amies, puisqu'elle n'a été scolarisée que pendant un an et demi, de manière irrégulière et chez une voisine, et ne pouvait quasiment pas sortir de chez elle, ce qui réduisait de manière conséquente ses chances de se faire des amies. A cela s'ajoute le fait qu'en raison de son appartenance à un clan minoritaire, elle était raillée et frappée par les filles de son âge habitant le quartier. Vivant une relation conflictuelle avec sa mère, à qui elle ne pouvait pas se confier, elle ne pouvait pas non plus s'adresser et éventuellement trouver refuge auprès de ses cinq oncles, qui vivent à la campagne en un endroit qu'elle ignore (cf. p-v de l'audition sur les motifs, Q59 ss). Dans ces circonstances, la recourante n'a pas eu d'autres choix que celui de prendre le risque de quitter son pays, sans le sou, alors qu'elle était mineure et n'avait personne à qui demander de l'aide financière et logistique au moment de sa fuite ainsi que durant son parcours migratoire.</w:t>
      </w:r>
    </w:p>
    <w:p>
      <w:r>
        <w:rPr>
          <w:b/>
        </w:rPr>
        <w:t>E. 4.3</w:t>
      </w:r>
    </w:p>
    <w:p>
      <w:r>
        <w:t>Partant, compte tenu de l'ensemble du dossier et du contexte familial exposé, le Tribunal estime que la recourante a rendu vraisemblable qu'elle avait été violée par son beau-père dans les circonstances décrites.</w:t>
      </w:r>
    </w:p>
    <w:p>
      <w:r>
        <w:rPr>
          <w:b/>
        </w:rPr>
        <w:t>E. 4.4</w:t>
      </w:r>
    </w:p>
    <w:p>
      <w:r>
        <w:t>Cependant, bien que vraisemblable, ce motif n'est pas pertinent sous l'angle de l'asile, aucun faisceau d'indices ne laissant présager l'avènement, dans un avenir proche et avec haute probabilité, de mesures déterminantes au sens de l'art. 3 LAsi. En effet, il n'existe pas de risque fondé et objectif de répétition de la persécution en cas de retour de la recourante en Somalie avec un haut degré de vraisemblance puisque le dernier viol dont elle a été victime a été commis en juin 2015, qu'ensuite son beau-père ne l'a plus agressée parce qu'elle avait grandi et s'enfermait dans sa chambre, et parce que celui-ci est tombé malade début 2016. En d'autres termes, la recourante n'a plus été abusée durant les dix-sept mois qui ont précédé son départ de Somalie. Ainsi, le risque de sérieux préjudices de la part de son beau-père en cas de retour n'est pas actuel, étant précisé que la recourante est maintenant âgée de (...) ans (cf. consid. 3.3 ci-dessus). Dès lors, le Tribunal considère que la jurisprudence publiée aux ATAF 2014/27, qui porte sur les motifs de fuite spécifiques aux femmes en lien avec la Somalie, n'est pas applicable en l'occurrence, en l'absence d'un risque concret et fondé d'une persécution future actuelle en cas de retour. Nul n'est donc besoin d'examiner la possibilité pour la recourante d'obtenir une protection effective et efficace dans le cas particulier, que ce soit de la part d'un membre masculin de sa famille, de son clan ou des autorités somaliennes, ni celle de trouver un refuge interne.</w:t>
      </w:r>
    </w:p>
    <w:p>
      <w:r>
        <w:rPr>
          <w:b/>
        </w:rPr>
        <w:t>E. 4.5</w:t>
      </w:r>
    </w:p>
    <w:p>
      <w:r>
        <w:t>S'agissant de l'altercation avec une jeune fille de son quartier, qui l'aurait blessée au niveau de la tête en mars 2016, la recourante a déclaré que la mère de celle-ci avait porté plainte auprès de la police et avait versé un pot-de-vin afin qu'elle soit arrêtée. Après une semaine de détention, la justice aurait prononcé sa mise en liberté, le (...) 2016, et aurait condamné la famille de la jeune fille au paiement de ses frais médicaux. Elle n'aurait cependant été libérée que fin mai 2016. Néanmoins, le Tribunal considère que ce motif n'est pas pertinent sous l'angle de l'asile, puisque la justice somalienne a libéré la recourante en lui donnant gain de cause, lui ayant ainsi offert une protection effective et efficace contre l'agression de tiers dont il est question. Le fait que la recourante ait été relâchée après plusieurs semaines - pour autant que ce fait soi avéré au regard des différentes versions présentées (cf. p-v de l'audition sur les motifs, Q187 à 190), question qui peut demeurer indécise - ne constitue pas non plus une persécution étatique déterminante au sens de l'art. 3 al. 2 LAsi. A cela s'ajoute qu'il s'agit d'un événement isolé, se rapportant à un fait particulier, qui n'est pas susceptible de se répéter dans des circonstances similaires dans un avenir proche et avec haute probabilité en cas de retour de la recourante en Somalie. En outre, son arrestation constitue, selon ses propres dires, un acte de corruption, rien n'indiquant que cela soit en lien avec son appartenance clanique (cf. p-v de l'audition sur les motifs, Q181, 183, 184 et 189).</w:t>
      </w:r>
    </w:p>
    <w:p>
      <w:r>
        <w:rPr>
          <w:b/>
        </w:rPr>
        <w:t>E. 4.6</w:t>
      </w:r>
    </w:p>
    <w:p>
      <w:r>
        <w:t>Par ailleurs, le Tribunal considère que la recourante n'a pas invoqué avoir été inquiétée par les autorités étatiques en raison de son appartenance au clan C._______. Elle n'a pas non plus allégué avoir été personnellement et directement persécutée par des tiers d'une manière déterminante au sens de l'art. 3 LAsi, en raison de son appartenance à ce groupe ethnique minoritaire. En effet, elle a déclaré, sans autres précisions, avoir fait l'objet de discriminations diverses de la part de la population en général et de voisins, à l'instar de tous les autres membres de son clan ; elle n'a ainsi pas allégué avoir été personnellement prise pour cible. Il convient encore de rappeler que, bien que les membres du groupe ethnique minoritaire C._______ soient discriminés de manière générale, il n'y a pas lieu de retenir de persécution collective à leur encontre au sens de la jurisprudence (cf. arrêt du Tribunal E-3409/2018 du 29 août 2018 ; sur la notion de persécution collective, ATAF 2014/32 consid. 7.2).</w:t>
      </w:r>
    </w:p>
    <w:p>
      <w:r>
        <w:rPr>
          <w:b/>
        </w:rPr>
        <w:t>E. 4.7</w:t>
      </w:r>
    </w:p>
    <w:p>
      <w:r>
        <w:t>Au surplus, bien que déplorables, les éventuelles agressions sexuelles dont aurait été victime la recourante durant son parcours migratoire, ainsi que cela ressort des anamnèses des rapports médicaux des 26 juin 2018 et 14 février 2020, et de la note de suivi médical du 15 mars 2018, ne sont pas décisives, dès lors que, d'une part, elles ne sont par nature pas liées aux raisons l'ayant conduite à quitter son pays d'origine et, d'autre part, rien n'indique qu'elles aient été commises dans le cadre d'une traite humaine en lien avec la Somalie ou puissent entraîner une stigmatisation sociale de l'intéressée à son retour dans son pays.</w:t>
      </w:r>
    </w:p>
    <w:p>
      <w:r>
        <w:rPr>
          <w:b/>
        </w:rPr>
        <w:t>E. 4.8</w:t>
      </w:r>
    </w:p>
    <w:p>
      <w:r>
        <w:t>Il s'ensuit que le recours, en tant qu'il conteste le refus de reconnaissance de la qualité de réfugié et d'octroi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OA 1, n'étant en l'occurrence réalisée, le Tribunal est tenu, de par la loi, de confirmer cette mesure.</w:t>
      </w:r>
    </w:p>
    <w:p>
      <w:r>
        <w:rPr>
          <w:b/>
        </w:rPr>
        <w:t>E. 5.3</w:t>
      </w:r>
    </w:p>
    <w:p>
      <w:r>
        <w:t>En conséquence, le recours doit donc également être rejeté en tant qu'il porte sur le principe du renvoi.</w:t>
      </w:r>
    </w:p>
    <w:p>
      <w:r>
        <w:rPr>
          <w:b/>
        </w:rPr>
        <w:t>E. 6.1</w:t>
      </w:r>
    </w:p>
    <w:p>
      <w:r>
        <w:t>Dans la mesure où la recourante bénéficie de l'assistance judiciaire totale, il n'est pas perçu de frais de procédure (art. 65 al. 1 et 63 al. 2 PA).</w:t>
      </w:r>
    </w:p>
    <w:p>
      <w:r>
        <w:rPr>
          <w:b/>
        </w:rPr>
        <w:t>E. 6.2</w:t>
      </w:r>
    </w:p>
    <w:p>
      <w:r>
        <w:t>Le montant des honoraires à la charge du Tribunal est arrêté, sur la base de la note du 21 août 2018 ainsi que des écritures des 24 janvier, 13 février et 5 mars 2020, compte tenu d'un tarif horaire de 150 francs (cf. décision incidente du 5 juin 2018, p. 3), à 600 francs (4 heures à 150 francs de l'heure ; les frais de dossier non justifiés ne sont pas indemnisés).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