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E-2309/2016 vom 19. April 2016</w:t>
      </w:r>
    </w:p>
    <w:p>
      <w:r>
        <w:t>Bundesverwaltungsgericht, 2016-04-19, DE</w:t>
      </w:r>
    </w:p>
    <w:p>
      <w:r>
        <w:rPr>
          <w:b/>
        </w:rPr>
        <w:t xml:space="preserve">Quelle: </w:t>
      </w:r>
      <w:r>
        <w:t>https://mcp.opencaselaw.ch/entscheid/bvger_E-2309_2016</w:t>
      </w:r>
    </w:p>
    <w:p>
      <w:r>
        <w:t>FR: TAF E-2309/2016 du 19 avril 2016</w:t>
      </w:r>
    </w:p>
    <w:p>
      <w:r>
        <w:t>IT: TAF E-2309/2016 del 19 aprile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d Dublin-III-VO ist der Mitgliedstaat verpflichtet, einen Drittstaatsangehörigen, dessen Antrag abgelehnt wurde und der in einem anderen Mitgliedstaat einen Antrag gestellt hat oder der sich im Hoheitsgebiet eines anderen Mitgliedstaats ohne Aufenthaltstitel aufhält, nach Massgabe der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ein Abgleich der Fingerabdrücke mit der Zentraleinheit Eurodac habe ergeben, dass der Beschwerdeführer am 20. März 2015 in Deutschland ein Asylgesuch eingereicht habe. Die deutschen Behörden hätten das Ersuchen der Schweiz um Übernahme des Beschwerdeführers gestützt auf Art. 18 Abs. 1 Bst. d Dublin-III-VO gutgeheissen. Die Zuständigkeit für die Durchführung des Asyl- und Wegweisungsverfahrens liege somit bei Deutschland.</w:t>
      </w:r>
    </w:p>
    <w:p>
      <w:r>
        <w:rPr>
          <w:b/>
        </w:rPr>
        <w:t>E. 4.2</w:t>
      </w:r>
    </w:p>
    <w:p>
      <w:r>
        <w:t>Der Beschwerdeführer hat dem nichts entgegenzustellen. Die Vor­instanz ist somit zutreffend von der Zuständigkeit Deutschlands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Die Beschwerde ist abzuweisen.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