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E-2308/2015 vom 18. Juni 2015</w:t>
      </w:r>
    </w:p>
    <w:p>
      <w:r>
        <w:t>Bundesverwaltungsgericht, 2015-06-18, FR</w:t>
      </w:r>
    </w:p>
    <w:p>
      <w:r>
        <w:rPr>
          <w:b/>
        </w:rPr>
        <w:t xml:space="preserve">Quelle: </w:t>
      </w:r>
      <w:r>
        <w:t>https://mcp.opencaselaw.ch/entscheid/bvger_E-2308_2015</w:t>
      </w:r>
    </w:p>
    <w:p>
      <w:r>
        <w:t>FR: TAF E-2308/2015 du 18 juin 2015</w:t>
      </w:r>
    </w:p>
    <w:p>
      <w:r>
        <w:t>IT: TAF E-2308/2015 del 18 giugno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 quand bien même la réalité de son poste de directeur de l'Institut est établi.</w:t>
      </w:r>
    </w:p>
    <w:p>
      <w:r>
        <w:rPr>
          <w:b/>
        </w:rPr>
        <w:t>E. 3.2</w:t>
      </w:r>
    </w:p>
    <w:p>
      <w:r>
        <w:t>En effet, le Tribunal doit en premier lieu constater que la description des faits donnée par le recourant, dans ses auditions, est souvent vague et décousue, dénuée de détails clairs et vérifiables, et dépourvue de logique ; les indications de temps font également défaut, bien que les faits de la cause aient été alors tout récents. L'intéressé tente de justifier cette carence par la situation de stress qui était alors la sienne, ainsi que par d'hypothétiques troubles psychiques. Toutefois, depuis la date de l'audition principale (19 novembre 2013), il n'a produit aucun rapport médical de nature à établir la réalité de ces troubles ; de plus, l'intéressé ne s'est pas seulement montré obscur et incohérent dans ses dires, ce que pourrait à la rigueur expliquer une atteinte psychique, mais a manifestement plusieurs fois tenté d'éluder les questions posées, en fournissant des réponses sans rapport avec celles-ci. Le Tribunal ne peut accorder une portée particulière aux deux écrits rédigés en anglais par l'intéressé, et joint au recours ; en effet, informé des éléments que le SEM considérait comme invraisemblables, il a eu tout loisir de reconstituer un récit cohérent, auquel il n'y a pas de motif d'accorder plus particulièrement foi. A ce sujet, c'est abusivement que le recourant fait valoir, dans sa réplique, qu'une instruction complémentaire aurait permis d'éclaircir les points obscurs de son récit ; il lui incombait, en effet, de présenter spontanément ses motifs de manière adéquate, étant rappelé que c'est sur lui que repose le fardeau de la preuve.</w:t>
      </w:r>
    </w:p>
    <w:p>
      <w:r>
        <w:rPr>
          <w:b/>
        </w:rPr>
        <w:t>E. 3.3</w:t>
      </w:r>
    </w:p>
    <w:p>
      <w:r>
        <w:t>Sur le fond, force est de constater que le comportement du recourant, tel qu'il le dépeint, apparaît dépourvu de logique. En effet, à l'en croire, il aurait pris le risque de communiquer des renseignements confidentiels à un inconnu, dont il ignorait pour le compte de qui celui-ci agissait ; adopter un tel comportement, alors qu'il était déjà soupçonné de sympathies pour l'opposition, occupait un poste en vue, et que son interlocuteur pouvait parfaitement être un agent provocateur, apparaît invraisemblable. Au CEP, il a également déclaré avoir renseigné la radio ESAT ; il n'a cependant plus cité cette station dans sa seconde audition, sinon de manière très allusive (cf. audition du 19 novembre 2013, question 132). Selon l'intéressé, il n'aurait supposé qu'après coup que les renseignements qu'il rassemblait étaient recueillis par Ginbot 7 ; il semble cependant peu informé de la nature et des buts de ce parti. Ginbot 7, fondé en 2008, a été classé comme groupe terroriste par les autorités éthiopiennes, depuis 2011, et est surtout actif à l'étranger (Landinfo Country of Origin Information Centre, Ethiopia : the Ginbot 7 party, Oslo, 20 août 2012). Si plusieurs dizaines de personnes, en 2009, ont été arrêtées et condamnées en raison de supposées relations avec ce groupe, il n'apparaît cependant plus guère être actif en Ethiopie (OSAR, Äthiopien, Aktuelle Entwicklungen bis Juni 2014) ; il est donc improbable que l'intéressé ait pu entrer en contact avec lui. En 2011 et 2012, des opposants arrêtés se sont fait reprocher leurs liens avec "Ginbot 7", mais cette accusation n'a jamais pu être confirmée. Le récit comporte encore d'autres éléments invraisemblables. Ainsi, l'intéressé aurait été remis en liberté avec l'assistance du Ministre de la Justice, ainsi que d'un procureur ; cette version des faits n'est guère compatible avec l'existence d'une persécution pour raisons politiques. De même, sil les autorités éthiopiennes avaient entendu l'empêcher de quitter le pays en mai 2012, il n'est pas crédible qu'elles aient attendu jusqu'au mois d'août suivant pour lui retirer son passeport. Enfin, il n'est pas crédible que l'intéressé court un risque en raison de son origine ethnique, qui ne l'a pas empêché, durant plusieurs années, d'occuper un poste administratif élevé.</w:t>
      </w:r>
    </w:p>
    <w:p>
      <w:r>
        <w:rPr>
          <w:b/>
        </w:rPr>
        <w:t>E. 3.4</w:t>
      </w:r>
    </w:p>
    <w:p>
      <w:r>
        <w:t>A cela s'ajoute que l'attestation émanant prétendument de la Police fédérale éthiopienne, déposée par le recourant, présente des caractéristiques permettant de remettre en cause son authenticité, et ceci sans qu'une instruction complémentaire soit nécessaire. L'intéressé nie que le logo porté en en-tête et le timbre soient falsifiés, produisant à l'appui d'autres exemples de logos de cet organisme. Toutefois, il n'explique en rien pourquoi le timbre a été clairement produit par une imprimante, et non apposé sur le document ; de plus, ce timbre comporte une faute d'orthographe ("Federal Polices Commission"). Enfin, le logo, s'il montre en effet une ressemblance avec les exemples fournis par le recourant, présente une coloration jaune irrégulière, de nature à faire présumer une falsification. A cela s'ajoute que l'intéressé n'a pu expliquer de façon satisfaisante pourquoi cette pièce, qui lui aurait été remise à sa libération, porte une date postérieure d'un mois. Enfin, le Tribunal ne peut que s'interroger sur la raison d'être du document en cause ; en effet, on discerne mal pourquoi la police lui aurait remis une telle attestation, détaillant les motifs de son interpellation et en précisant les motifs politiques. Force est dès lors d'admettre que la réalité de la détention elle-même doit être tenue pour douteuse.</w:t>
      </w:r>
    </w:p>
    <w:p>
      <w:r>
        <w:rPr>
          <w:b/>
        </w:rPr>
        <w:t>E. 3.5</w:t>
      </w:r>
    </w:p>
    <w:p>
      <w:r>
        <w:t>Les autres documents déposés par le recourant ne sont pas davantage de nature à établir le bien-fondé de ses motifs. En effet, ni les extraits de presse ni le cédérom, produits en première instance, ne le concernent personnellement. Quant à l'attestation de la mairie d'Addis-Abeba et au compte-rendu du service de sécurité, déposés en recours, ils figurent au dossier sous forme de courriel, et non en original. Le premier est douteux, dans la mesure où il n'est pas crédible que la mairie, organe de l'Etat, ait accepté de remettre une telle attestation à l'intéressé, manifestement sur sa demande. Quant au second document, le recourant n'a pas expliqué comment, éminemment confidentiel, il aurait pu parvenir entre ses mains et se trouver à l'Institut qu'il dirigeait.</w:t>
      </w:r>
    </w:p>
    <w:p>
      <w:r>
        <w:rPr>
          <w:b/>
        </w:rPr>
        <w:t>E. 3.6</w:t>
      </w:r>
    </w:p>
    <w:p>
      <w:r>
        <w:t>Il n'est pas non plus vraisemblable que le recourant soit exposé à un danger du fait de la démarche qu'aurait engagée son premier mandataire auprès de la représentation diplomatique éthiopienne. En effet, en annexe à sa réplique du 17 décembre 2013, l'intéressé a joint la lettre prétendument destinée à cette représentation, revêtue de la signature originale de son mandataire ; il est donc douteux que cette lettre ait été réellement expédiée. De plus, s'agissant d'un élément postérieur au dépôt de la demande, il ne pourrait fonder l'octroi de l'asile (art. 54 LAsi) ; il n'est pas non plus exclu qu'il s'agisse là d'un comportement sciemment décidé pour éviter un rejet de cette demande, qui ne pourrait permettre la reconnaissance de la qualité de réfugié (art. 3 al. 4 LAsi).</w:t>
      </w:r>
    </w:p>
    <w:p>
      <w:r>
        <w:rPr>
          <w:b/>
        </w:rPr>
        <w:t>E. 3.7</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pour les mêmes raisons que celles indiquées plus haut, le Tribunal considère que le recourant n'a pas fait valoir un véritable risque concret et sérieux d'être victime de traitements prohibés par les art. 3 CEDH ou 3 Conv. torture, en cas de renvoi dans son pays (ATAF 2008/34 consid. 10 ; JICRA 2005 n° 4 consid. 6.2 p. 40, JICRA 2004 n° 6 consid. 7a p. 40, JICRA 1996 n° 18 consid. 14b spéc. let. ee p. 182 ss). Dès lors, l'exécution du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De jurisprudence constante, l'exécution du renvoi vers l'Ethiopie est en principe considérée comme raisonnablement exigible (ATAF 2011/25 consid. 8.3 p. 520 et réf. cit.). En dépit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qu'il est dans le force de l'âge, au bénéfice d'une excellente formation et d'une expérience professionnelle, et n'a pas allégué de problème de santé particulier.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L'assistance judiciaire totale a été accordée, en application de l'art. 110a LAsi ; il n'est donc pas perçu de frais. En vertu de l'art. 14 al. 2 du règlement du 21 février 2008 concernant les frais, dépens et indemnités fixés par le Tribunal administratif fédéral (FITAF, RS 173.320.2), applicable par analogie, le Tribunal fixe l'indemnité du mandataire d'office, d'après la note de frais jointe au recours (d'un montant de 2300 francs) et d'une estimation des frais postérieurs (dépôt d'une réplique demandant une heure de travail, au tarif horaire indiqué de 200 francs), à la somme totale de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