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E-2306/2021 vom 19. Juli 2021</w:t>
      </w:r>
    </w:p>
    <w:p>
      <w:r>
        <w:t>Bundesverwaltungsgericht, 2021-07-19, DE</w:t>
      </w:r>
    </w:p>
    <w:p>
      <w:r>
        <w:rPr>
          <w:b/>
        </w:rPr>
        <w:t xml:space="preserve">Quelle: </w:t>
      </w:r>
      <w:r>
        <w:t>https://mcp.opencaselaw.ch/entscheid/bvger_E-2306_2021</w:t>
      </w:r>
    </w:p>
    <w:p>
      <w:r>
        <w:t>FR: TAF E-2306/2021 du 19 juillet 2021</w:t>
      </w:r>
    </w:p>
    <w:p>
      <w:r>
        <w:t>IT: TAF E-2306/2021 del 19 luglio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einzutreten (Art. 108 Abs. 3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w:t>
      </w:r>
    </w:p>
    <w:p>
      <w:r>
        <w:rPr>
          <w:b/>
        </w:rPr>
        <w:t>E. 3</w:t>
      </w:r>
    </w:p>
    <w:p>
      <w:r>
        <w:t>Der Antrag, der Beschwerde sei die aufschiebende Wirkung zu gewähren, ist mit vorliegendem Urteil gegenstandslos geworden.</w:t>
      </w:r>
    </w:p>
    <w:p>
      <w:r>
        <w:rPr>
          <w:b/>
        </w:rPr>
        <w:t>E. 4</w:t>
      </w:r>
    </w:p>
    <w:p>
      <w:r>
        <w:t>Der Beschwerdeführer beantragt die Koordination seines Beschwerdeverfahrens mit demjenigen seiner Ehefrau (E-2358/2021). Die Urteile der beiden Beschwerdeverfahren ergehen gleichzeitig und werden von demselben Spruchkörper behandelt. Dem Antrag auf Koordination der beiden Verfahren wurde somit Rechnung getragen.</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(vgl. BVGE 2013/22 E. 5.4). Im vorliegenden Fall blieb die vorinstanzliche Verfügung vom 12. Juli 2017 unangefochten. Das Wiedererwägungsgesuch betrifft Wegweisungsvollzugshindernisse sowie auch Asylvorbringen, weshalb es sich um ein qualifiziertes Wiedererwägungsgesuch handelt.</w:t>
      </w:r>
    </w:p>
    <w:p>
      <w:r>
        <w:rPr>
          <w:b/>
        </w:rPr>
        <w:t>E. 6.1</w:t>
      </w:r>
    </w:p>
    <w:p>
      <w:r>
        <w:t>In der Beschwerde wird eine formelle Rüge erhoben, die vorab zu beurteilen ist, da sie allenfalls geeignet sein könnte, eine Kassation der vor-instanzlichen Verfügung zu bewirken. Der Beschwerdeführer rügt eine Verletzung der Pflicht zur vollständigen und richtigen Abklärung des rechtserheblichen Sachverhalts.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Der Beschwerdeführer rügt, die Vorinstanz hätte die Schweizerische Botschaft im Irak mit der Prüfung der Echtheit des Haftbefehls vom (...) beauftragen müssen. Zudem sei nicht abgeklärt worden, ob er bei einem Wegweisungsvollzug in den Irak Schutz erhalten würde. Eine entsprechende Zusicherung sei aus den Akten nicht ersichtlich. Zur Überprüfung, ob und wie er von den irakischen Behörden verfolgt werde, sei die Sache an die Vorinstanz zurückzuweisen. Die Vorinstanz erachtete die Asylvorbringen des Beschwerdeführers insgesamt als unglaubhaft, zudem handelt es sich beim Haftbefehl um eine Kopie. Eine Überprüfung der Echtheit des Haftbefehls sowie Abklärungen hinsichtlich der Verfolgungsvorbringen und einer existierenden Zusicherung haben sich somit nicht aufgedrängt.</w:t>
      </w:r>
    </w:p>
    <w:p>
      <w:r>
        <w:rPr>
          <w:b/>
        </w:rPr>
        <w:t>E. 6.3</w:t>
      </w:r>
    </w:p>
    <w:p>
      <w:r>
        <w:t>Die formelle Rüge erweist sich angesichts dieser Sachlage als unbegründet, weshalb keine Veranlassung besteht, die Sache aufzuheben und an die Vorinstanz zurückzuweisen. Das entsprechende Rechtsbegehren ist somit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Der Beschwerdeführer begründet das Wiedererwägungsgesuch damit, seine Ehefrau sei im Februar 2020 aufgrund einer bevorstehenden Zwangsheirat mit einem anderen Mann aus dem Irak geflüchtet. Im März 2020 hätten sie in der Türkei religiös geheiratet. Seit dem 16. November 2020 befinde sie sich in der Schweiz und sie habe am 17. November 2020 ein Asylgesuch eingereicht. Sie sei im fünften Monat schwanger. Somit liege seit der Verfügung vom 12. Juli 2017 eine wesentliche Veränderung der Sach- und Beweislage vor. Die hohe Machtposition ihres Vaters als Parteifunktionär sowie der Umstand, dass er bereits im Jahr 2016 verhaftet worden sei, verdeutliche, dass ihm bei einer Rückkehr in den Irak eine wohl noch schlimmere Behandlung drohe. Seiner Ehefrau würde ein Ehrenmord drohen. Die Ausführungen seiner Ehefrau im Rahmen ihres Asylverfahrens würden dies belegen.</w:t>
      </w:r>
    </w:p>
    <w:p>
      <w:r>
        <w:rPr>
          <w:b/>
        </w:rPr>
        <w:t>E. 8.2</w:t>
      </w:r>
    </w:p>
    <w:p>
      <w:r>
        <w:t>Die Vorinstanz begründet ihre Verfügung damit, seine Asylvorbringen seien mit Verfügung vom 12. Juli 2017 als unglaubhaft qualifiziert worden. Die Ausführungen der Ehefrau des Beschwerdeführers und die von ihr eingereichte Kopie eines Haftbefehls vom (...) seien nicht geeignet, zu einer anderen Einschätzung hinsichtlich des Bestehens einer begründeten Furcht vor Verfolgung im Sinne von Art. 3 AsylG zu führen. Ihre Asylvorbringen seien mit separater Verfügung vom 15. April 2021 ebenfalls als unglaubhaft eingestuft worden. Somit sei seinem Wiedererwägungsgesuch die Grundlage entzogen worden, da er dieses mit ihren Aussagen begründet habe. Dem in Kopie eingereichten Haftbefehl vom (...) komme keine Beweiskraft zu. Selbst im Original würde er kaum einen Beweiswert entfalten. Dokumenten aus dem Irak komme nur im Kontext mit einem schlüssigen Sachverhalt Beweiskraft zu. Dies sei vorliegend aufgrund seiner unglaubhaften Schilderungen und ihrer oberflächlichen Ausführungen nicht gegeben. Es würden somit keine Gründe vorliegen, welche die Rechtskraft der Verfügung vom 12. Juli 2017 beseitigen könnten.</w:t>
      </w:r>
    </w:p>
    <w:p>
      <w:r>
        <w:rPr>
          <w:b/>
        </w:rPr>
        <w:t>E. 8.3</w:t>
      </w:r>
    </w:p>
    <w:p>
      <w:r>
        <w:t>Der Beschwerdeführer bringt dagegen vor, sein Vater habe den Erhalt des Haftbefehls am (...) unterschriftlich bestätigt, da er bereits in der Schweiz gewesen sei. Aus Angst vor negativen Konsequenzen für seine Familie im Irak habe er den Kontakt zu seinem Vater nur selten gepflegt, weshalb ihm der Haftbefehl erst viel später durch einen Freund aus dem Irak mitgebracht worden sei. Seine Ehefrau habe Fotos ihres Vaters eingereicht, welche belegen würden, dass dieser bei den (...) arbeite, da das Emblem der (...) auf dem Oberarm der Weste ersichtlich sei. Mit der Einreichung des Haftbefehls sowie den Aussagen seiner Ehefrau, welche seine Asylvorbringen stützen würden, könne er beweisen, dass er bei einer Rückkehr in den Irak aufgrund der Machtstellung ihres Vaters von den irakischen Behörden asylrelevant verfolgt werde.</w:t>
      </w:r>
    </w:p>
    <w:p>
      <w:r>
        <w:rPr>
          <w:b/>
        </w:rPr>
        <w:t>E. 9.1</w:t>
      </w:r>
    </w:p>
    <w:p>
      <w:r>
        <w:t>Mit rechtskräftiger Verfügung vom 12. Juli 2017 erachtete die Vorinstanz die Vorbringen des Beschwerdeführers hinsichtlich des Vorfalls auf dem Parkplatz im Herbst 2014, der Festnahme, der Haft, der Freilassung und dem Verbleib seiner Reise- und Identitätsdokumente bereits als unglaubhaft. Das Wiedererwägungsgesuch stützt er auf die Aussagen seiner Ehefrau und den Haftbefehl. Die Beschwerde der Ehefrau wird hingegen aufgrund der Unglaubhaftigkeit ihrer Aussagen mit Urteil E-2358/2021 vom 19. Juli 2021 abgewiesen, weshalb er sich nicht darauf berufen kann. Hinsichtlich des Erhalts des Haftbefehls bestehen Widersprüche, so gab er beschwerdeweise an, dieser sei ihm von einem Freund aus dem Irak gebracht worden. Mit der Beschwerde reichte er hingegen ein Schreiben der Rechtsvertreterin seiner Ehefrau ein, wonach ihm der Haftbefehl von seinem Vater in die Schweiz geschickt worden sei. Zudem handelt es sich beim Haftbefehl nur um eine Kopie, welche nicht fälschungssicher ist und somit nur einen geringen Beweiswert aufweist. Die weiteren eingereichten Fotos des Vaters seiner Ehefrau, eines Ausweises ihres Vaters, seiner Haft, des Emblems der Asayesh und ihres Arms vermögen seine Asylvorbringen ebenfalls nicht zu belegen. Darüber hinaus bestehen auch keine Anhaltspunkte, dass er aufgrund der religiösen Heirat Probleme im Irak erhalten würde.</w:t>
      </w:r>
    </w:p>
    <w:p>
      <w:r>
        <w:rPr>
          <w:b/>
        </w:rPr>
        <w:t>E. 9.2</w:t>
      </w:r>
    </w:p>
    <w:p>
      <w:r>
        <w:t>Der Beschwerdeführer konnte keine begründete Furcht vor zukünftigen ernsthaften Nachteilen im Sinne von Art. 3 AsylG dartun. Die Vorinstanz hat das Wiedererwägungsgesuch zu Recht abgewiesen.</w:t>
      </w:r>
    </w:p>
    <w:p>
      <w:r>
        <w:rPr>
          <w:b/>
        </w:rPr>
        <w:t>E. 10</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11.1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11.2.1</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Sachdarstellung des Beschwerdeführers hat sich als unglaubhaft erwiesen. Weder aus den Akten noch aus der Beschwerde ergeben sich konkrete Anhaltspunkte dafür, dass er für den Fall einer Ausschaffung in den Irak dort mit beachtlicher Wahrscheinlichkeit einer nach Art. 3 EMRK oder Art. 1 FoK verbotenen Strafe oder Behandlung ausgesetzt wäre. Der Vollzug der Wegweisung ist zulässig.</w:t>
      </w:r>
    </w:p>
    <w:p>
      <w:r>
        <w:rPr>
          <w:b/>
        </w:rPr>
        <w:t>E. 11.2.2</w:t>
      </w:r>
    </w:p>
    <w:p>
      <w:r>
        <w:t>Betreffend die Ehefrau des Beschwerdeführers und ihres Kindes ist mit Urteil E-2358/2021 vom 19. Juli 2021 die Wegweisung angeordnet worden. Die Vollzugsbehörden sind gehalten, den Vollzug der Wegweisung des Beschwerdeführers, seiner Ehefrau und des Kindes gemeinsam durchzuführen, um eine Trennung zu vermeiden.</w:t>
      </w:r>
    </w:p>
    <w:p>
      <w:r>
        <w:rPr>
          <w:b/>
        </w:rPr>
        <w:t>E. 11.3.1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11.3.2</w:t>
      </w:r>
    </w:p>
    <w:p>
      <w:r>
        <w:t>Die Ausführungen der Vorinstanz sind nicht zu beanstanden. Im Referenzurteil E-3737/2015 vom 14. Dezember 2015 bestätigte das Bundesverwaltungsgericht seine in BVGE 2008/5 publizierte Praxis zur Frage der Zumutbarkeit des Wegweisungsvollzugs in die ARK (umfassend seit Anfang 2015 die Provinzen Dohuk, Erbil, Suleimaniya sowie der von Letzterer abgespalteten Provinz Halabja). Demnach sei nicht von einer Situation allgemeiner Gewalt im Sinne von Art. 83 Abs. 4 AIG auszugehen. Diese Einschätzung hat nach wie vor Gültigkeit. Die langjährige Praxis im Sinne von BVGE 2008/5 für aus dem ARK-Gebiet stammende Kurdinnen und Kurden bleibt somit weiterhin anwendbar. Besonderes Gewicht ist angesichts der Belastung der behördlichen Infrastrukturen durch im Irak intern Vertriebene («Internally Displaced Persons» [IDPs]) dem Vorliegen begünstigender individueller Faktoren beizumessen (u.a. Urteile des BVGer D-2775/2020 vom 8. Juli 2020 E. 8.3.2; D-787/2020 vom 17. April 2020 E. 7.3; D-7151/2018 vom 25. Februar 2020 E. 7.4.4). Die Anordnung des Wegweisungsvollzugs setzt insbesondere voraus, dass die betreffenden Personen ursprünglich aus der Region stammen oder längere Zeit dort gelebt haben und dort über ein soziales Beziehungsnetz (Familie, Verwandtschaft oder Bekanntenkreis) oder über Beziehungen zu den herrschenden Parteien verfügen (BVGE 2008/5 E. 7.5; ausführlich zudem Urteil des BVGer E-6430/2016 vom 31. Januar 2018 E. 6.4.1 ff.). Unter Beachtung der genannten Grundsätze qualifiziert das Gericht auch den Vollzug der Wegweisung von Familien mit Kindern in die ARK-Region nicht als grundsätzlich unzumutbar (vgl. das Urteil BVGer E-1438/2021 vom 17. Mai 2021 E. 10.3.1). Hinsichtlich der individuellen Gründe des Beschwerdeführers kann auf die Verfügung der Vorinstanz vom 12. Juli 2017 verwiesen werden, wonach er in B._______ geboren und bis zu seiner Ausreise dort gelebt hat. Er ist ein junger und gesunder Mann. Gemäss eigenen Aussagen verfügt er mit seinen Eltern, seinen fünf Geschwistern sowie mehreren Onkeln, Tanten und Cousins über nahe Familienmitglieder und weitere Verwandte. Entgegen seinen Angaben in der Beschwerde kann aufgrund der Akten ohne weiteres davon ausgegangen werden, dass er dort über ein tragfähiges familiäres Beziehungsnetz verfügt, auf dessen Unterstützung er, sollte es notwendig sein, auch zählen kann. Seinen Lebensunterhalt verdiente er als (...). Es ist davon auszugehen, dass er für sich, seine Ehefrau und das Kind wird sorgen können, gegebenenfalls mit Unterstützung seiner im Heimatstaat oder auch im Ausland lebenden Verwandten; dies auch unter Berücksichtigung der allenfalls erschwerten Situation aufgrund der Corona-Pandemie. Der Vollzug der Wegweisung erweist sich somit auch in individueller Hinsicht als zumutbar.</w:t>
      </w:r>
    </w:p>
    <w:p>
      <w:r>
        <w:rPr>
          <w:b/>
        </w:rPr>
        <w:t>E. 11.4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11.5</w:t>
      </w:r>
    </w:p>
    <w:p>
      <w:r>
        <w:t>Die aktuellen Massnahmen im Zusammenhang mit der weltweiten Ausbreitung der Coronavirus-Krankheit (Covid-19) vermögen aufgrund ihrer vorübergehenden Natur nicht, die obigen Schlussfolgerungen in Frage zu stellen. Würden diese im vorliegenden Fall den Vollzug der Wegweisung verzögern, so würden dieser zwangsläufig zu einem späteren, angemessenen Zeitpunkt erfolgen (vgl. statt vieler: Urteil des BVGer E-895/2020 vom 15. April 2020 E. 9.6).</w:t>
      </w:r>
    </w:p>
    <w:p>
      <w:r>
        <w:rPr>
          <w:b/>
        </w:rPr>
        <w:t>E. 11.6</w:t>
      </w:r>
    </w:p>
    <w:p>
      <w:r>
        <w:t>Die Vorinstanz hat den Vollzug demnach zu Recht als zulässig, zumutbar und möglich erachtet. Damit fällt die Anordnung einer vorläufigen Aufnahme ausser Betracht (Art. 83 Abs. 1-4 AIG). Die entsprechenden Beschwerdebegehren sind abzuweisen.</w:t>
      </w:r>
    </w:p>
    <w:p>
      <w:r>
        <w:rPr>
          <w:b/>
        </w:rPr>
        <w:t>E. 12</w:t>
      </w:r>
    </w:p>
    <w:p>
      <w:r>
        <w:t>Aus diesen Erwägungen ergibt sich, dass die angefochtene Verfügung Bundesrecht nicht verletzt und auch sonst nicht zu beanstanden ist (Art. 106 AsylG). Die Vorinstanz hat das qualifizierte Wiedererwägungsgesuch somit zu Recht abgewiesen. Die Beschwerde ist abzuweisen.</w:t>
      </w:r>
    </w:p>
    <w:p>
      <w:r>
        <w:rPr>
          <w:b/>
        </w:rPr>
        <w:t>E. 13.1</w:t>
      </w:r>
    </w:p>
    <w:p>
      <w:r>
        <w:t>Die gestellten Rechtsbegehren erweisen sich als aussichtslos, weshalb das Gesuch um Gewährung der unentgeltlichen Prozessführung ungeachtet einer allfälligen prozessualen Bedürftigkeit abzuweisen ist (Art. 65 Abs. 1 VwVG).</w:t>
      </w:r>
    </w:p>
    <w:p>
      <w:r>
        <w:rPr>
          <w:b/>
        </w:rPr>
        <w:t>E. 13.2</w:t>
      </w:r>
    </w:p>
    <w:p>
      <w:r>
        <w:t>Bei diesem Ausgang des Verfahrens sind die Kosten von Fr. 1'500.-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w:t>
      </w:r>
    </w:p>
    <w:p>
      <w:r>
        <w:rPr>
          <w:b/>
        </w:rPr>
        <w:t>E. 14</w:t>
      </w:r>
    </w:p>
    <w:p>
      <w:r>
        <w:t>Mit dem vorliegenden Urteil fällt der am 19. Mai 2021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