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E-2302/2018 vom 9. Mai 2018</w:t>
      </w:r>
    </w:p>
    <w:p>
      <w:r>
        <w:t>Bundesverwaltungsgericht, 2018-05-09, DE</w:t>
      </w:r>
    </w:p>
    <w:p>
      <w:r>
        <w:rPr>
          <w:b/>
        </w:rPr>
        <w:t xml:space="preserve">Quelle: </w:t>
      </w:r>
      <w:r>
        <w:t>https://mcp.opencaselaw.ch/entscheid/bvger_E-2302_2018</w:t>
      </w:r>
    </w:p>
    <w:p>
      <w:r>
        <w:t>FR: TAF E-2302/2018 du 9 mai 2018</w:t>
      </w:r>
    </w:p>
    <w:p>
      <w:r>
        <w:t>IT: TAF E-2302/2018 del 9 maggio 2018</w:t>
      </w:r>
    </w:p>
    <w:p>
      <w:pPr>
        <w:pStyle w:val="Heading2"/>
      </w:pPr>
      <w:r>
        <w:t>Regeste</w:t>
      </w:r>
    </w:p>
    <w:p>
      <w:r>
        <w:t>Nichteintreten auf Asylgesuch (sicherer Drittstaat) und Wegweisung</w:t>
      </w:r>
    </w:p>
    <w:p>
      <w:pPr>
        <w:pStyle w:val="Heading2"/>
      </w:pPr>
      <w:r>
        <w:t>Erwägungen</w:t>
      </w:r>
    </w:p>
    <w:p>
      <w:r>
        <w:rPr>
          <w:b/>
        </w:rPr>
        <w:t>E. 1</w:t>
      </w:r>
    </w:p>
    <w:p>
      <w:r>
        <w:t>Gemäss Art. 31 VGG beurteilt das Bundesverwaltungsgericht Beschwerden gegen Verfügungen nach Art. 5 VwVG. Da keine Ausnahme nach Art. 32 VGG vorliegt, ist es zur Beurteilung der vorliegenden Beschwerde zuständig. Das Verfahren vor dem Bundesverwaltungsgericht richtet sich nach dem VwVG, sofern das VGG nichts anderes bestimmt (Art. 37 VGG). Der Beschwerdeführer hat am Verfahren vor der Vorinstanz teilgenommen und ist als Adressat des angefochtenen Entscheides davon beschwert, weshalb er zur Beschwerde legitimiert ist (Art. 48 Abs. 1 VwVG). Auf die frist- und formgerecht eingereichte (Art. 50 und 52 VwVG) Beschwerde ist somit einzutreten.</w:t>
      </w:r>
    </w:p>
    <w:p>
      <w:r>
        <w:rPr>
          <w:b/>
        </w:rPr>
        <w:t>E. 2.1</w:t>
      </w:r>
    </w:p>
    <w:p>
      <w:r>
        <w:t>In Anwendung von Art. 37 VGG i.V.m. Art. 57 Abs. 1 VwVG wurde auf einen Schriftenwechsel verzichtet.</w:t>
      </w:r>
    </w:p>
    <w:p>
      <w:r>
        <w:rPr>
          <w:b/>
        </w:rPr>
        <w:t>E. 2.2</w:t>
      </w:r>
    </w:p>
    <w:p>
      <w:r>
        <w:t>Die Kognition des Bundesverwaltungsgerichts und die zulässigen Rügen richten sich im Asylbereich nach Art. 106 Abs. 1 AsylG, im Bereich des Ausländerrechts nach Art. 49 VwVG (vgl. BVGE 2014/26 E. 5).</w:t>
      </w:r>
    </w:p>
    <w:p>
      <w:r>
        <w:rPr>
          <w:b/>
        </w:rPr>
        <w:t>E. 2.3</w:t>
      </w:r>
    </w:p>
    <w:p>
      <w:r>
        <w:t>Bei Beschwerden gegen Nichteintretensentscheide, mit denen es das SEM ablehnt, das Asylgesuch auf seine Begründetheit hin zu überprüfen, ist die Beurteilungskompetenz des Bundesverwaltungsgerichts grundsätzlich auf die Frage beschränkt, ob die Vorinstanz zu Recht auf das Asylgesuch nicht eingetreten ist (vgl. BVGE 2011/9 E. 5 m.w.H.). Sofern das Bundesverwaltungsgericht den Nichteintretensentscheid als unrechtmässig erachtet, hebt es die angefochtene Verfügung auf und weist die Sache zur neuen Entscheidung an das SEM zurück. Die Fragen der Anerkennung der Flüchtlingseigenschaft, der Gewährung von Asyl und der Anordnung einer vorläufigen Aufnahme bilden demnach nicht Gegenstand eines angefochtenen Nichteintretensentscheides.</w:t>
      </w:r>
    </w:p>
    <w:p>
      <w:r>
        <w:rPr>
          <w:b/>
        </w:rPr>
        <w:t>E. 2.4</w:t>
      </w:r>
    </w:p>
    <w:p>
      <w:r>
        <w:t>Bezüglich der Frage der ausländerrechtlichen Wegweisung und des Wegweisungsvollzuges hat die Vorinstanz eine materielle Prüfung vorgenommen, weshalb dem Bundesverwaltungsgericht diesbezüglich volle Kognition zukommt.</w:t>
      </w:r>
    </w:p>
    <w:p>
      <w:r>
        <w:rPr>
          <w:b/>
        </w:rPr>
        <w:t>E. 3.1</w:t>
      </w:r>
    </w:p>
    <w:p>
      <w:r>
        <w:t>Gemäss Art. 31a Abs. 1 Bst. a AsylG tritt das SEM in der Regel auf ein Asylgesuch nicht ein, wenn Asylsuchende in einen Drittstaat nach Art. 6a Abs. 2 Bst. b AsylG zurückkehren können, in welchem sie sich vorher aufgehalten haben.</w:t>
      </w:r>
    </w:p>
    <w:p>
      <w:r>
        <w:rPr>
          <w:b/>
        </w:rPr>
        <w:t>E. 3.2</w:t>
      </w:r>
    </w:p>
    <w:p>
      <w:r>
        <w:t>Art. 31a Abs. 1 Bst. c-e findet keine Anwendung, wenn Hinweise bestehen, dass im Einzelfall im Drittstaat kein effektiver Schutz vor Rückschiebung nach Art. 5 Abs. 1 AsylG besteht (Art. 31a Abs. 2 AsylG). Der Rückschiebeschutz verlangt, dass keine Person in irgendeiner Form zur Ausreise in ein Land gezwungen werden darf, in dem ihr Leib, ihr Leben oder ihre Freiheit aus einem Grund nach Art. 3 Abs. 1 AsylG gefährdet ist oder in dem sie Gefahr läuft, zur Ausreise in ein solches Land gezwungen zu werden.</w:t>
      </w:r>
    </w:p>
    <w:p>
      <w:r>
        <w:rPr>
          <w:b/>
        </w:rPr>
        <w:t>E. 4.1</w:t>
      </w:r>
    </w:p>
    <w:p>
      <w:r>
        <w:t>Das SEM hielt zur Begründung seines Nichteintretensentscheids fest, der Bundesrat habe Ungarn als sicheren Drittstaat im Sinne von Art. 6a Abs. 2 Bst. b AsylG bezeichnet. Gemäss Abklärungen habe der Beschwerdeführer dort subsidiären Schutz erhalten, wobei sich Ungarn am 1. März 2018 zur Rücknahme des Beschwerdeführers bereit erklärt habe. Angesichts seines in Ungarn bestehenden subsidiären Schutzes würden zwar Anzeichen dafür vorliegen, dass die Bedingungen für eine vorläufige Aufnahme nach Art. 83 AuG (SR 142.20) vorliegen würden. Jedoch sei für die Beurteilung eines allfälligen Ersuchens um Wiedererwägung des Asylentscheides Ungarn zuständig, womit der Beschwerdeführer in der Schweiz kein schutzwürdiges Interesse im Sinne von Art. 25 Abs. 2 VwVG an der Feststellung der Flüchtlingseigenschaft oder der Prüfung allfälliger Wegweisungshindernisse nachweisen könne. Der subsidiäre Schutzstatus ermögliche die Rückkehr nach Ungarn, ohne dort eine Rückschiebung in Verletzung des Non-Refoulement-Prinzips befürchten zu müssen. Sodann sei die geltend gemachte Minderjährigkeit unerheblich. Diese würde zwar im Dublin-Verfahren ein mögliches Zuständigkeitskriterium darstellen. Vorliegend sei das Dublin-Verfahren aber bereits am 23. Februar 2018 beendet worden, so dass der Beschwerdeführer daraus keine Rechte ableiten könne. Ohnehin sei aber von der Volljährigkeit des Beschwerdeführers auszugehen. Da der Beschwerdeführer in einen Drittstaat reisen könne, in dem er Schutz vor Rückschiebung im Sinne von Art. 5 Abs. 1 AsylG finden würde, sei das Non-Refoulement-Gebot bezüglich des Heimat- oder Herkunftsstaates nicht zu prüfen. Weiter würden weder die in Ungarn herrschende Situation noch andere Gründe gegen die Zumutbarkeit eines Wegweisungsvollzuges dorthin sprechen. Der Vollzug sei schliesslich möglich und praktisch durchführbar, zumal die entsprechende Zustimmung Ungarns vorliege.</w:t>
      </w:r>
    </w:p>
    <w:p>
      <w:r>
        <w:rPr>
          <w:b/>
        </w:rPr>
        <w:t>E. 4.2</w:t>
      </w:r>
    </w:p>
    <w:p>
      <w:r>
        <w:t>Der Beschwerdeführer hielt demgegenüber im Wesentlichen fest, eine Wegweisung nach Ungarn sei nicht zumutbar, weil dort ein Asylsystem herrsche, welches gegen die Menschenrechte verstosse. Dies gelte auch bezüglich Personen, welche in Ungarn subsidiären Schutz erhalten hätten. Die Situation der Flüchtlinge in Ungarn verschlechtere sich zunehmend, weshalb die Europäischen Staaten keine Asylsuchenden nach Ungarn wegweisen würden. Seine geltend gemachten Asylgründe seien in Ungarn nicht eingehend geprüft worden. Nachdem er subsidiären Schutz erhalten habe, habe er das Flüchtlingslager, in welchem er sich bis dahin aufgehalten habe, verlassen müssen, ohne dass er Informationen beispielsweise darüber erhalten habe, an wen er sich wenden müsse, um finanzielle Unterstützung zu erhalten. Nachdem in Ungarn kein "richtiges" Asylverfahren durchgeführt worden sei, müsse er befürchten, dass Ungarn ihm den vorübergehend gewährten Schutz wieder entziehen und ihn nach Afghanistan ausweisen würde. Des Weiteren machte der Beschwerdeführer geltend, dass das SEM von einem falschen Alter ausgegangen sei. Er sei noch minderjährig, weshalb das SEM verpflichtet gewesen wäre, genauere Abklärungen hinsichtlich der Unterbringungsmöglichkeiten in Ungarn vorzunehmen. Er habe seine Minderjährigkeit durch die Einreichung einer Kopie seiner Tazkira belegt. Hinzu komme, dass sein Alter von einem Arzt bereits in Ungarn festgestellt worden sei. Dieser habe seine Knochen, seine Zähne und weitere Merkmale untersucht. Aufgrund dieser Untersuchungen sei er von den ungarischen - und im Übrigen auch von den österreichischen und den serbischen - Behörden als Minderjähriger registriert worden.</w:t>
      </w:r>
    </w:p>
    <w:p>
      <w:r>
        <w:rPr>
          <w:b/>
        </w:rPr>
        <w:t>E. 5.1</w:t>
      </w:r>
    </w:p>
    <w:p>
      <w:r>
        <w:t>In Bezug auf die vom Beschwerdeführer geltend gemachte Minderjährigkeit ist festzustellen, dass nach Lehre und Praxis die asylsuchende Person die Beweislast für die von ihr behauptete Minderjährigkeit trägt. Mithin ist die Minderjährigkeit zu beweisen oder zumindest glaubhaft zu machen (vgl. dazu Entscheidungen und Mitteilungen der Schweizerischen Asylrekurskommission [EMARK] 2004 Nr. 30 E. 5 ff.). Die Vorinstanz hat also nicht zusätzlich die Richtigkeit der Volljährigkeit zu beweisen (vgl. Urteil des BVGer E-6883/2016 vom 28. November 2016 E. 2.3; EMARK 2000 Nr. 19 E. 8b, 2001 Nr. 22 E. 3b und 2004 Nr. 30 E. 5.3.3). Bestehen Hinweise, dass eine angeblich minderjährige asylsuchende Person das Mündigkeitsalter bereits erreicht hat, so kann das SEM ein Altersgutachten veranlassen (Art. 17 Abs. 3bis AsylG). Im Rahmen der Feststellung des Sachverhalts kann mit Unterstützung wissenschaftlicher Methoden abgeklärt werden, ob die Altersangabe der asylsuchenden Person dem tatsächlichen Alter entspricht (Art. 7 Abs. 1 AsylV 1 SR 142.311 ).</w:t>
      </w:r>
    </w:p>
    <w:p>
      <w:r>
        <w:rPr>
          <w:b/>
        </w:rPr>
        <w:t>E. 5.2</w:t>
      </w:r>
    </w:p>
    <w:p>
      <w:r>
        <w:t>Im zur selben Zeit und im selben Spruchkörper ergangenen Urteil im Verfahren E-1454/2018 wird in Erwägung 7 einlässlich dargelegt, aus welchen Gründen von der Volljährigkeit des Beschwerdeführers auszugehen ist und weshalb es ihm nicht gelungen ist, die von ihm geltend gemachte Minderjährigkeit nachzuweisen beziehungsweise glaubhaft zu machen. Darauf kann hier vollständig verwiesen werden. Entgegen den Ausführungen des Beschwerdeführers war das SEM daher nicht gehalten, weitere Abklärungen zu treffen oder die im Asylverfahren für Minderjährige zum Tragen kommenden Massnahmen, wie beispielweise die Beiordnung einer Vertrauensperson, zu ergreifen.</w:t>
      </w:r>
    </w:p>
    <w:p>
      <w:r>
        <w:rPr>
          <w:b/>
        </w:rPr>
        <w:t>E. 6</w:t>
      </w:r>
    </w:p>
    <w:p>
      <w:r>
        <w:t>Gestützt auf Art. 6a Abs. 2 Bst. b AsylG bezeichnet der Bundesrat Staaten, in denen nach seinen Feststellungen effektiver Schutz vor Rückschiebung im Sinne von Art. 5 Abs. 1 AsylG besteht; im Dezember 2007 hat er alle EU- und EFTA-Staaten als sichere Drittstaaten bezeichnet. Es ist sodann unbestritten, dass der Beschwerdeführer in Ungarn über einen subsidiären Schutzstatus verfügt, und die ungarischen Behörden der Wiederaufnahme des Beschwerdeführers am 1. März 2018 zugestimmt haben. Die Voraussetzungen für einen Nichteintretensentscheid gemäss Art. 31a Abs. 1 Bst. a AsylG sind demnach grundsätzlich erfüllt.</w:t>
      </w:r>
    </w:p>
    <w:p>
      <w:r>
        <w:rPr>
          <w:b/>
        </w:rPr>
        <w:t>E. 7.1</w:t>
      </w:r>
    </w:p>
    <w:p>
      <w:r>
        <w:t>Lehnt das SEM das Asylgesuch ab oder tritt es darauf nicht ein, so verfügt es in der Regel die Wegweisung aus der Schweiz und ordnet den Vollzug an (Art. 44 AsylG). Im Übrigen finden für die Anordnung des Vollzugs der Wegweisung die Artikel 83 und 84 AuG Anwendung (Art. 44 AsylG; vgl. BVGE 2014/26 E. 5.1).</w:t>
      </w:r>
    </w:p>
    <w:p>
      <w:r>
        <w:rPr>
          <w:b/>
        </w:rPr>
        <w:t>E. 7.2</w:t>
      </w:r>
    </w:p>
    <w:p>
      <w:r>
        <w:t>Der Beschwerdeführer verfügt weder über eine ausländerrechtliche Aufenthaltsbewilligung noch über einen Anspruch auf Erteilung einer solchen. Die Wegweisung wurde demnach zu Recht angeordnet (Art. 44 AsylG).</w:t>
      </w:r>
    </w:p>
    <w:p>
      <w:r>
        <w:rPr>
          <w:b/>
        </w:rPr>
        <w:t>E. 8.1</w:t>
      </w:r>
    </w:p>
    <w:p>
      <w:r>
        <w:t>Ist der Vollzug der Wegweisung nicht zulässig, nicht zumutbar oder nicht möglich, so regelt das SEM das Anwesenheitsverhältnis nach den gesetzlichen Bestimmungen über die vorläufige Aufnahme (Art. 44 AsylG; Art. 83 Abs. 1 AuG). Vorliegend ist einzig der Vollzug nach Ungarn einer Prüfung zu unterziehen, nicht aber ein solcher in den Heimat- oder Herkunftsstaat des Beschwerdeführers.</w:t>
      </w:r>
    </w:p>
    <w:p>
      <w:r>
        <w:rPr>
          <w:b/>
        </w:rPr>
        <w:t>E. 8.2</w:t>
      </w:r>
    </w:p>
    <w:p>
      <w:r>
        <w:t>Unzulässig ist der Vollzug der Wegweisung,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Unzumutbar kann der Vollzug der Wegweisung für Ausländerinnen und Ausländer gemäss Art. 83 Abs. 4 AuG dann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w:t>
      </w:r>
    </w:p>
    <w:p>
      <w:r>
        <w:t>Gemäss Art. 6a AsylG besteht zugunsten sicherer Drittstaaten - wie Ungarn einer ist - die Vermutung, dass diese ihre völkerrechtlichen Verpflichtungen, darunter im Wesentlichen das Refoulement-Verbot und grundlegende menschenrechtliche Garantien, einhalten (vgl. Fanny Matthey, in: Code annoté de droit des migrations, a.a.O., Art. 6a AsylG N 12 S. 68). Gestützt auf Art. 83 Abs. 5 AuG besteht ferner die Vermutung, dass eine Wegweisung in einen EU- oder EFTA-Staat in der Regel zumutbar ist. Es obliegt der betroffenen Person, diese beiden Legalvermutungen umzustossen. Sie hat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dazu statt vieler Urteil des BVGer D-206/2016 vom 10. Februar 2016, E. 5.1.1). Zwar steht das ungarische Asylsystem, insbesondere was den Zugang zum Verfahren und die Ausgestaltung des Verfahrens anbelangt, in der Kritik. Dies betrifft jedoch insbesondere die Situation Asylsuchender in Ungarn sowie die Weigerung Ungarns, sich an der kontingentierten Umverteilung von Flüchtlingen innerhalb der Dublin-Staaten zu beteiligen. Die schwierige Situation von Asylsuchenden in Ungarn ist gut dokumentiert und hat unter anderem zu einem Vertragsverletzungsverfahren der Europäischen Kommission geführt (&lt;http://europa.eu/rapid/press-release_IP-175023_de.- htm&gt; [abgerufen am 27. April 2018]). Dieses Vertragsverletzungsverfahren erstreckt sich gerade nicht auf die Verpflichtungen Ungarns, die auf Personen mit subsidiärem Schutz Anwendung finden. In diesem Zusammenhang ist darauf hinzuweisen, dass Ungarn an die Richtlinie 2011/95/EU (Qualifikationsrichtlinie) gebunden ist. Im Kapitel VII dieser Richtlinie werden die den Flüchtlingen und Personen mit subsidiärem Schutzstatus zu gewährenden Rechte geregelt (Art. 21 Schutz vor Zurückweisung , Art. 22 Information , Art. 26 [Zugang zu Beschäftigung], Art. 27 [Zugang zu Bildung], Art. 29 [Sozialhilfeleistungen], Art. 30 [medizinische Versorgung] und Art. 32 Wohnraum ). Die Erfahrungen des Beschwerdeführers als Asylsuchender in Ungarn lassen sich somit nicht auf die Situation projizieren, die er als Begünstigter subsidiären Schutzes bei einer Rückkehr in Ungarn erwartet. Auch wenn der Beschwerdeführer in Ungarn zugegebenermassen keine einfachen Lebensbedingungen vorfinden wird, ist diesbezüglich nicht von einer unmenschlichen oder entwürdigenden Behandlung im Sinne von Art. 3 EMRK respektive von einer existenziellen Notlage auszugehen. Der Beschwerdeführer hat denn auch weder im vorinstanzlichen Verfahren noch im Beschwerdeverfahren Konkretes geltend gemacht, was in Bezug auf seine persönliche Situation zu einer anderen Beurteilung führen könnte. Es handelt sich bei ihm sodann um einen alleinstehenden, volljährigen und - soweit sich aus den Akten ergibt - gesunden Mann. Im Übrigen ist er gehalten, die ihm zustehenden Unterstützungsleistungen und weiteren Rechte direkt bei den zuständigen Behörden einzufordern, falls notwendig auf dem Rechtsweg. Schliesslich kann sich der Beschwerdeführer auf die Garantien in der Qualifikationsrichtlinie berufen, auf die sich Ungarn als EU-Mitgliedstaat behaften lassen muss. Von Interesse dürften vorliegend insbesondere die Regeln betreffend den Zugang von Personen mit Schutzstatus zu Beschäftigung, zu Bildung, zu Sozialhilfeleistungen, zu Wohnraum und zu medizinischer Versorgung sein. Nach dem Gesagten ist es dem Beschwerdeführer nicht gelungen, die Vermutung, wonach Ungarn seinen völkerrechtlichen Verpflichtungen nachkommt und seine Wegweisung in den EU-Mitgliedstaat auch zumutbar ist, umzustossen. Da die ungarischen Behörden einer Rücknahme des Beschwerdeführers zugestimmt haben, ist der Vollzug der Wegweisung auch als möglich zu bezeichnen.</w:t>
      </w:r>
    </w:p>
    <w:p>
      <w:r>
        <w:rPr>
          <w:b/>
        </w:rPr>
        <w:t>E. 8.4</w:t>
      </w:r>
    </w:p>
    <w:p>
      <w:r>
        <w:t>Zusammenfassend hat das SEM demnach zu Recht den Wegweisungsvollzug nach Ungarn als zulässig, zumutbar und möglich bezeichnet, weshalb auch die Anordnung der vorläufigen Aufnahme ausser Betracht fällt (Art. 83 Abs. 1- 4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Prozessführung gemäss Art. 65 Abs. 1 VwVG. Aus den vorstehenden Erwägungen ergibt sich, dass seine Begehren als aussichtslos zu gelten haben. Damit ist eine der kumulativ zu erfüllenden Voraussetzungen nicht gegeben, weshalb dem Gesuch - unbesehen einer allfälligen prozessualen Bedürftigkeit - nicht stattzugeben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10.3</w:t>
      </w:r>
    </w:p>
    <w:p>
      <w:r>
        <w:t>Mit dem vorliegenden Entscheid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