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E-2301/2015 vom 6. Mai 2015</w:t>
      </w:r>
    </w:p>
    <w:p>
      <w:r>
        <w:t>Bundesverwaltungsgericht, 2015-05-06, DE</w:t>
      </w:r>
    </w:p>
    <w:p>
      <w:r>
        <w:rPr>
          <w:b/>
        </w:rPr>
        <w:t xml:space="preserve">Quelle: </w:t>
      </w:r>
      <w:r>
        <w:t>https://mcp.opencaselaw.ch/entscheid/bvger_E-2301_2015</w:t>
      </w:r>
    </w:p>
    <w:p>
      <w:r>
        <w:t>FR: TAF E-2301/2015 du 6 mai 2015</w:t>
      </w:r>
    </w:p>
    <w:p>
      <w:r>
        <w:t>IT: TAF E-2301/2015 del 6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w:t>
      </w:r>
    </w:p>
    <w:p>
      <w:r>
        <w:rPr>
          <w:b/>
        </w:rPr>
        <w:t>E. 2.1</w:t>
      </w:r>
    </w:p>
    <w:p>
      <w:r>
        <w:t>Die Kognition des Bundesverwaltungsgerichts und die zulässigen Rügen richten sich im asylrechtlichen Bereich nach Art. 106 Abs. 1 AsylG und im Bereich des Ausländerrechts nach Art. 49 VwVG (vgl. BVGE 2014/26 E. 5).</w:t>
      </w:r>
    </w:p>
    <w:p>
      <w:r>
        <w:rPr>
          <w:b/>
        </w:rPr>
        <w:t>E. 2.2</w:t>
      </w:r>
    </w:p>
    <w:p>
      <w:r>
        <w:t>Das Bundesverwaltungsgericht ist an die Begründung der Vorinstanz nicht gebunden (Art. 62 Abs. 4 VwVG). Erweist sich eine angefochtene Verfügung im Ergebnis zwar als richtig, aber als falsch begründet, weist es die Beschwerde ab und bestätigt den vorinstanzlichen Entscheid mit anderer, korrekter Begründung. Sollte sich der neue Entscheid auf Rechtsnormen stützen, mit deren Anwendung die Parteien nicht rechnen mussten, ist ihnen Gelegenheit zu geben, sich vorgängig dazu zu äussern (zur Motivsubstitution vgl. Moser/Beusch/Kneubühler, Prozessieren vor dem Bundesverwaltungsgericht, 2. Aufl. 2013, Rz. 1.54; BVGE 2007/41 E. 2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führte das SEM aus, an den Vorbringen des Beschwerdeführers bestünden ernsthafte Zweifel. Er habe an der Befragung vom 5. Februar 2015 erstmals geltend gemacht, damit rechnen zu müssen, von seinen Gläubigern umgebracht zu werden. In der Befragung vom 27. März 2014 habe er trotz Nachfrage keine derartigen Probleme angegeben. Diesen Widerspruch habe er nicht nachvollziehbarerweise erklären können. Weiter habe er nicht glaubhaft darzulegen vermocht, wo in Marokko er gewohnt habe, wann er ausgereist und auf welchem Weg er nach Europa gelangt sei. Auch der Umstand, dass die Angaben zu seinem Pass und zur Identitätskarte unterschiedlich ausgefallen seien, weise darauf hin, dass er seine Aufenthaltsorte der letzten Jahre zu verheimlichen suche. Schliesslich seien seine Aussagen zum Zeitpunkt der Kreditvergabe sowie zu deren Gesamthöhe ebenso widersprüchlich wie seine Aussagen zum Zeitpunkt und zur Häufigkeit der Kontakte seines Bruders mit den Gläubigern. Die geltend gemachten Probleme mit den Gläubigern sowie die Furcht vor weiteren Schwierigkeiten mit denselben seien nach dem Gesagten nicht glaubhaft, so dass die Asylrelevanz der Vorbringen nicht geprüft werden müsse.</w:t>
      </w:r>
    </w:p>
    <w:p>
      <w:r>
        <w:rPr>
          <w:b/>
        </w:rPr>
        <w:t>E. 5.2</w:t>
      </w:r>
    </w:p>
    <w:p>
      <w:r>
        <w:t>In der Beschwerde wiederholte der Beschwerdeführer, er sei in Marokko in Gefahr, von seinen gewalttätigen Gläubigern umgebracht zu werden. Er erhalte von ihnen Drohungen. Er und seine Familie würden unter dem Druck dieser gewalttätigen Leute leiden. Er habe sich von der Rückkehrberatungsstelle im Kanton Luzern beraten lassen und habe sich daraufhin entschieden, ins Heimatland zurückzukehren, allerdings nur für den Fall, dass er Rückkehrhilfe bekomme. Er möchte dort gerne ein neues Projekt starten und mit dem Geld seine Schulden bezahlen. Seine Familie versuche, mit seinen Gläubigern eine neue Zahlungsfrist auszuhandeln. Falls es mit der Rückkehrhilfe nicht klappen sollte, sei er bei einer Rückkehr weiterhin in Gefahr.</w:t>
      </w:r>
    </w:p>
    <w:p>
      <w:r>
        <w:rPr>
          <w:b/>
        </w:rPr>
        <w:t>E. 5.3</w:t>
      </w:r>
    </w:p>
    <w:p>
      <w:r>
        <w:t>Zunächst stellt das Bundesverwaltungsgericht fest, dass der Beschwer­deführer sich mit den vorinstanzlichen Erwägungen nicht auseinandergesetzt hat und zu den in der angefochtenen Verfügung berechtigterweise aufgezeigten Widersprüchen nicht Stellung nahm. Weiter ist darauf hinzuweisen, dass die Ausführungen des Beschwerdeführers, wonach er bereit sei, nach Marokko zurückkehren, unter der Voraussetzung, dass er Rückkehrhilfe bekomme, eine asylrelevante Verfolgung nicht glaubhafter erscheinen lässt. Im Übrigen ist darauf hinzuweisen, dass das Bundesverwaltungsgericht für die Ausrichtung von finanzieller Rückkehrhilfe nicht zuständig ist und mithin auch keine Möglichkeit für eine beschwerdeführende Person besteht, vor Bundesverwaltungsgericht die Ausrichtung beziehungsweise die Höhe finanzieller Rückkehrhilfe zu beantragen und auszuhandeln. Das Asylgesuch des Beschwerdeführers erweist sich indessen klar als unbegründet, so dass letztlich offen bleiben kann, ob er tatsächlich in Marokko Schulden hat und ob seine Gläubiger ihm Gewalt androhen. In seinen Vorbringen findet sich nämlich kein asylrelevantes Motiv für die angebliche Verfolgung (vgl. E. 4.1 vorstehend), und es ist nicht ersichtlich und wird auch nicht geltend gemacht, dass die marokkanischen Behörden nicht bereit und in der Lage wären, ihn vor allfälligen widerrechtlichen Übergriffen durch seine angeblich gewalttätigen Gläubiger zu schützen. Das Vorliegen einer asylrelevanten Verfolgung ist deshalb ohne weitere Ausführungen und, da sich das vorliegende Urteil keineswegs auf Rechts­normen stützt, mit deren Anwendung der Beschwerdeführer nicht rechnen musste, ohne vorgängige Einräumung der Möglichkeit zur Stellungnahme (vgl. E.2.2 vorstehend) zu verneinen.</w:t>
      </w:r>
    </w:p>
    <w:p>
      <w:r>
        <w:rPr>
          <w:b/>
        </w:rPr>
        <w:t>E. 5.4</w:t>
      </w:r>
    </w:p>
    <w:p>
      <w:r>
        <w:t>Das Bundesverwaltungsgericht stellt demnach fest, dass der Beschwerdeführer keine asylrechtlich relevanten Verfolgungsgründe im Sinne von Art. 3 und 7 AsylG glaubhaft zu machen vermochte, weshalb das Bundesamt das Asylgesuch im Resultat zu Recht abgelehnt hat.</w:t>
      </w:r>
    </w:p>
    <w:p>
      <w:r>
        <w:rPr>
          <w:b/>
        </w:rPr>
        <w:t>E. 6.1</w:t>
      </w:r>
    </w:p>
    <w:p>
      <w:r>
        <w:t>Lehnt das SEM das Asylgesuch ab oder tritt es darauf nicht ein,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nach Marokko ist demnach unter dem Aspekt von Art. 5 AsylG rechtmässig. Sodann ergeben sich weder aus den Aussagen des Beschwerdeführers noch aus den Akten Anhaltspunkte dafür, dass er für den Fall einer Ausschaffung nach Marokko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Marokko lässt den Wegweisungsvollzug nicht als unzulässig erscheinen. Nach dem Gesagten ist der Vollzug der Wegweisung sowohl im Sinne der asyl- als auch der völkerrechtlichen Bestimmungen zulässig. 7.2.1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7.2.2 Mit Blick auf die politische Lage, die Menschenrechtssituation und die Lebensumstände in Marokko ist eine Rückschaffung des Beschwerdeführers unter dem Aspekt der konkreten Gefährdung aufgrund einer allgemeinen Gewaltsituation nicht unzumutbar. Es finden sich keine konkreten Anhaltspunkte dafür, dass er bei einer Rückkehr aus individuellen Gründen in eine existenzbedrohende Situation geraten könnte. Zudem ist davon auszugehen, dass er in Marokko über ein tragfähiges soziales Beziehungsnetz verfügt. Der Wegweisungsvollzug erweist sich somit als zumutbar.</w:t>
      </w:r>
    </w:p>
    <w:p>
      <w:r>
        <w:rPr>
          <w:b/>
        </w:rPr>
        <w:t>E. 7.3</w:t>
      </w:r>
    </w:p>
    <w:p>
      <w:r>
        <w:t>Schliesslich obliegt es dem Beschwerdeführer, sich bei der zuständigen Vertretung des Heimatstaates die für eine Rückkehr notwendigen Reisedokumente zu beschaffen (vgl. Art. 8 Abs. 4 AsylG; BVGE 2011/24 E. 10.1 m.w.H.),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infolgedessen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Anträge, es sei auf die Erhebung eines Kostenvorschusses zu verzichten und die zuständige Behörde sei vorsorglich anzuweisen, die Kontaktaufnahme mit den Behörden des Heimatlandes sowie jegliche Datenweitergabe an dieselben zu unterlassen, werden mit vorliegendem Direktentscheid gegenstandslos. In den Akten deutet nichts auf eine erfolgte Kontaktaufnahme oder Datenweitergabe hin, weshalb sich der diesbezügliche Eventualantrag ebenfalls als gegenstandslos erweist. Der Eventualantrag auf Wiederherstellung der aufschiebenden Wirkung der Beschwerde war von Anfang an gegenstandslos, da das SEM den von Gesetzes wegen regelmässig bestehenden Suspensiveffekt nicht entzogen hat.</w:t>
      </w:r>
    </w:p>
    <w:p>
      <w:r>
        <w:rPr>
          <w:b/>
        </w:rPr>
        <w:t>E. 10.1</w:t>
      </w:r>
    </w:p>
    <w:p>
      <w:r>
        <w:t>Aufgrund der vorstehenden Erwägungen ist die Beschwerde als aussichtslos zu qualifizieren. Die Gesuche um Gewährung der unentgeltlichen Prozessführung und Beigabe eines unentgeltlichen Rechtsbeistandes im Sinne von Art. 65 Abs. 1 und 2 VwVG sind daher - ungeachtet der Bedürftigkeit des Beschwerdeführers - abzuweisen.</w:t>
      </w:r>
    </w:p>
    <w:p>
      <w:r>
        <w:rPr>
          <w:b/>
        </w:rPr>
        <w:t>E. 10.2</w:t>
      </w:r>
    </w:p>
    <w:p>
      <w:r>
        <w:t>Bei diesem Ausgang sind die Verfahrenskosten von Fr. 600.- dem Beschwerdeführer aufzuerlegen (Art. 63 Abs. 1VwVG;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