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E-2300/2020 vom 19. Mai 2020</w:t>
      </w:r>
    </w:p>
    <w:p>
      <w:r>
        <w:t>Bundesverwaltungsgericht, 2020-05-19, DE</w:t>
      </w:r>
    </w:p>
    <w:p>
      <w:r>
        <w:rPr>
          <w:b/>
        </w:rPr>
        <w:t xml:space="preserve">Quelle: </w:t>
      </w:r>
      <w:r>
        <w:t>https://mcp.opencaselaw.ch/entscheid/bvger_E-2300_2020</w:t>
      </w:r>
    </w:p>
    <w:p>
      <w:r>
        <w:t>FR: TAF E-2300/2020 du 19 mai 2020</w:t>
      </w:r>
    </w:p>
    <w:p>
      <w:r>
        <w:t>IT: TAF E-2300/2020 del 19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wie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Auf den Antrag, die Sache sei zur rechtserheblichen Feststellung des Sachverhalts an die Vorinstanz zurückzuweisen, ist nicht einzutreten, da der Beschwerdeführer diesen nicht begründet.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des ablehnenden Asylentscheids führte die Vorinstanz im Wesentlichen aus, dass die geltend gemachten finanziellen Schwierigkeiten der Familie des Beschwerdeführers keine Asylrelevanz entfalten würden. Ebenso asylirrelevant sei seine Situation nach dem Versterben seiner Mutter. Die Ausführungen zur Anwerbung durch die islamische Gruppierung namens B._______ würden weder in zeitlicher noch sachlicher Hinsicht einen Kausalzusammenhang zu seiner Ausreise aufweisen, weshalb auch diesen keine Asylrelevanz zukomme.</w:t>
      </w:r>
    </w:p>
    <w:p>
      <w:r>
        <w:rPr>
          <w:b/>
        </w:rPr>
        <w:t>E. 6.2</w:t>
      </w:r>
    </w:p>
    <w:p>
      <w:r>
        <w:t>Der Beschwerdeführer hält dieser Einschätzung der Vorinstanz in der Beschwerdeschrift im Wesentlichen entgegen, dass die finanziellen Schwierigkeiten seiner Familie durch den Analphabetismus des Vaters noch verstärkt würden und er aufgrund der wirtschaftlichen Probleme die Schule habe abbrechen müssen. Zudem komme es in Bangladesch immer wieder zum Verschwinden von Personen aus politischen Gründen. Er selber sei im Falle einer Rückkehr diesbezüglich gefährdet, da sein Bruder im Zeitpunkt der Beschwerdeerhebung seit rund zwei Monaten als vermisst gelte. Es könne nicht ausgeschlossen werden, dass er Opfer einer solchen Entführung aus politischen Gründen geworden sei. Die Familienmitglieder dieser verschwundenen Personen seien häufig ebenfalls in Gefahr, weshalb er in Bangladesch ernsthaften Nachteilen ausgesetzt sei.</w:t>
      </w:r>
    </w:p>
    <w:p>
      <w:r>
        <w:rPr>
          <w:b/>
        </w:rPr>
        <w:t>E. 7.1</w:t>
      </w:r>
    </w:p>
    <w:p>
      <w:r>
        <w:t>Eine Prüfung der Akten ergibt, dass die vorinstanzliche Verfügung, wonach die vom Beschwerdeführer vorgetragenen Fluchtgründe keine Asylrelevanz aufweisen, zu bestätigen ist, weshalb vorab auf die zutreffenden Erwägungen der Vorinstanz verwiesen werden kann.</w:t>
      </w:r>
    </w:p>
    <w:p>
      <w:r>
        <w:rPr>
          <w:b/>
        </w:rPr>
        <w:t>E. 7.2</w:t>
      </w:r>
    </w:p>
    <w:p>
      <w:r>
        <w:t>Weder die geltend gemachten finanziellen Schwierigkeiten der Familie des Beschwerdeführers noch seine persönlichen Probleme nach dem Tod seiner Mutter knüpfen an ein asylrelevantes Merkmal im Sinn von Art. 3 Abs. 1 AsylG an. Daran vermag auch der Einwand auf Beschwerdeebene, wonach die finanziellen Schwierigkeiten durch den Analphabetismus des Vaters erheblich verstärkt würden, nichts zu ändern. Insgesamt ergibt sich weder aus der wirtschaftlichen Situation noch aus dem Versterben der Mutter eine asylrelevante Verfolgung.</w:t>
      </w:r>
    </w:p>
    <w:p>
      <w:r>
        <w:rPr>
          <w:b/>
        </w:rPr>
        <w:t>E. 7.3</w:t>
      </w:r>
    </w:p>
    <w:p>
      <w:r>
        <w:t>Die geltend gemachten Bemühungen der islamischen Gruppierung B._______, den Beschwerdeführer anzuwerben, vermögen ebenfalls keine asylrelevante Verfolgung zu begründen, da der Beschwerdeführer explizit darauf hinweist, der Beitritt sei freiwillig gewesen und man habe ihn diesbezüglich nicht unter Druck gesetzt (vgl. act. A11/16 F149). Ausserdem werden im Zusammenhang mit dieser Gruppierung und ihren Anwerbungsbemühungen keine Nachteile geltend gemacht.</w:t>
      </w:r>
    </w:p>
    <w:p>
      <w:r>
        <w:rPr>
          <w:b/>
        </w:rPr>
        <w:t>E. 7.4</w:t>
      </w:r>
    </w:p>
    <w:p>
      <w:r>
        <w:t>Soweit der Beschwerdeführer auf Beschwerdeebene vorbringt, aufgrund des Verschwindens seines Bruders gefährdet zu sein, wird nicht ersichtlich, inwiefern diesem Umstand ein asylrelevantes Motiv zugrunde liegen soll. Aus der Beschwerde ergeben sich keine Hinweise darauf, dass der Bruder des Beschwerdeführers aus Gründen im Sinn von Art. 3 AsylG entführt worden sein könnte, oder Anknüpfungspunkte in dessen Biografie, die einen solchen Verdacht allenfalls stützen würden. Der Beschwerdeführer hat dieses Vorbringen sodann auch nicht weiter konkretisiert. Er hat sodann die Frage in der Anhörung nach generellen Problemen mit den Behörden verneint (act. A8/14 Ziff. 7.01).</w:t>
      </w:r>
    </w:p>
    <w:p>
      <w:r>
        <w:rPr>
          <w:b/>
        </w:rPr>
        <w:t>E. 7.5</w:t>
      </w:r>
    </w:p>
    <w:p>
      <w:r>
        <w:t>Zusammenfassend ist festzuhalten, dass der Beschwerdeführer aufgrund der dargelegten mangelnden Asylrelevanz seiner Vorbringen - ungeachtet allfälliger Glaubhaftigkeitsfragen - die Flüchtlingseigenschaft nicht erfüllt und die Vorinstanz sein Asylgesuch zu Recht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Nach aktueller Rechtsprechung des Bundesverwaltungsgerichts herrscht in Bangladesch keine Situation allgemeiner Gewalt (vgl. Referenzurteil des BVGer D-3778/2013 vom 16. Juli 2015 E. 8.4 sowie zuletzt Urteile des BVGer D-3648/2019 vom 29. November 2019 E. 8.4.1 und D-1313/2020 vom 19. März 2020 E. 8.3.2). Allein aufgrund der allgemeinen Situation in Bangladesch ist demnach nicht von einer konkreten Gefährdung auszugehen.</w:t>
      </w:r>
    </w:p>
    <w:p>
      <w:r>
        <w:rPr>
          <w:b/>
        </w:rPr>
        <w:t>E. 9.3.3</w:t>
      </w:r>
    </w:p>
    <w:p>
      <w:r>
        <w:t>Auch sprechen keine individuellen Gründe gegen einen Wegweisungsvollzug. Es ist anzumerken, dass der Beschwerdeführer mittlerweile - ungeachtet allfälliger diesbezüglicher Glaubhaftigkeitsfragen während des Asylverfahrens - die Volljährigkeit unbestritten erreicht hat. Der Beschwerdeführer verfügt über eine achtjährige Schulbildung und Arbeitserfahrung in der (...), womit er zum Lebensunterhalt seiner Familie beitrug. Ferner kann er in seiner Heimat auf ein tragfähiges soziales Beziehungsnetz zurückgreifen, welches ihn bereits bei seiner Ausreise unterstützt hat und ihn auch bei seiner Rückkehr wieder wird unterstützen können. So konnte er bereits vor seiner Ausreise mehrere Monate bei Verwandten leben und sein Onkel finanzierte die Ausreise. Der Beschwerdeführer stand überdies seit seiner Ausreise in regelmässigem Kontakt mit seinem Vater. Hinsichtlich des Gesundheitszustands ist anzumerken, dass der Beschwerdeführer im Rahmen seines Asylverfahrens zwar Schmerzen im Brustbereich geltend macht, er ansonsten aber gesund sei (act. A11/16 F18 ff.). Den Akten sind keine Hinweise darauf zu entnehmen, dass diese Schmerzen einer Behandlung bedurft hätten. Im Zusammenhang mit dem Tod seiner Mutter spricht der Beschwerdeführer wiederholt von psychischen Problemen (vgl. act. A8/14 Ziff. 4.03 "Ich habe seit dem Tod meiner Mutter innerliche Probleme"). Diesbezüglich gilt es festzuhalten, dass sich in den Akten keine Anhaltspunkte dafür finden, dass die psychischen Probleme dem Vollzug der Wegweisung entgegenstünden. Zudem ist davon auszugehen, dass im Heimatstaat des Beschwerdeführers im Bedarfsfall entsprechende Behandlungsmöglichkeiten verfügbar sind, wenn auch nicht dem Schweizerischen Standard entsprechend (vgl. Urteil des BVGer D-4095/2017 vom 30. April 2019 E. 10.4.2). Auf Beschwerdeebene wird dem nichts Stichhaltiges entgegengebracht. Entsprechend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vorliegenden Urteil ist das Beschwerdeverfahren abgeschlossen. Das mit der Beschwerde gestellte Gesuch um Gewährung der unentgeltlichen Prozessführung (vgl. Art. 65 Abs. 1 VwVG) ist unbesehen der finanziellen Verhältnisse des Beschwerdeführers abzuweisen, da die Begehren gemäss den vorstehenden Erwägungen als aussichtslos zu bezeichnen waren und es daher an einer gesetzlichen Voraussetzung zu deren Gewährung fehlt. Das Gesuch um Verzicht auf die Kostenvorschusserhebung ist mit dem vorliegenden Entscheid gegenstandslos geworden.</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