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E-2300/2012 vom 21. Juni 2012</w:t>
      </w:r>
    </w:p>
    <w:p>
      <w:r>
        <w:t>Bundesverwaltungsgericht, 2012-06-21, DE</w:t>
      </w:r>
    </w:p>
    <w:p>
      <w:r>
        <w:rPr>
          <w:b/>
        </w:rPr>
        <w:t xml:space="preserve">Quelle: </w:t>
      </w:r>
      <w:r>
        <w:t>https://mcp.opencaselaw.ch/entscheid/bvger_E-2300_2012</w:t>
      </w:r>
    </w:p>
    <w:p>
      <w:r>
        <w:t>FR: TAF E-2300/2012 du 21 juin 2012</w:t>
      </w:r>
    </w:p>
    <w:p>
      <w:r>
        <w:t>IT: TAF E-2300/2012 del 21 giugno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 zur Begründung der angefochtenen Verfügung aus, die Vorbringen des Beschwerdeführers würden den Anforderungen des Glaubhaftmachens im Sinne von Art. 7 AsylG nicht standhalten. Die zentralen Fluchtvorbringen würden der allgemeinen Erfahrung und der der Logik des Handelns widersprechen. Der Umstand, dass der Beschwerdeführer zweimal aus dem Ausland nach Sri Lanka zurückgekehrt sei, entspreche nicht dem Verhalten eines tatsächlich Verfolgten. Gleiches gelte für die Tatsache, dass er mit dem eigenen Reisepass legal über den Flughafen von Colombo ein- und ausgereist sei und dabei problemlos diverse Kontrollposten habe passieren können. Auch die problemlose Registration in Colombo widerspreche dem Verhalten eines Verfolgten. Weiter würden die Vorbringen diverse Ungereimtheiten enthalten. So habe sich der Beschwerdeführer anlässlich der Befragungen in der Schweiz betreffend den Aufenthaltsort nach der Haftentlassung im Juli 2007 sowie die Anzahl der durch die Soldaten beschlagnahmten Presseerzeugnisse unvereinbar geäussert. Ferner seien die Aussagen anlässlich dieser Befragungen nicht vereinbar mit denjenigen anlässlich der Befragung in der Botschaft. Namentlich habe er sich widersprüchlich zu seiner Funktion in der Studentenorganisation geäussert, unterschiedliche Angaben darüber gemacht, ob er je verhaftet worden sei und ob er anderweitige Probleme mit den heimatlichen Behörden gehabt habe. Mit dem Hinweis, er habe Angst vor dem Dolmetscher anlässlich der Befragung in der Botschaft gehabt, vermöge er diese Unstimmigkeiten nicht zu entkräften. In Anbetracht der zahlreichen Ungereimtheiten würden erhebliche Zweifel am Wahrheitsgehalt der Vorbringen bestehen, und es entstehe der Eindruck, dass es sich nicht um tatsächlich Erlebtes, sondern um einen konstruierten Sachverhalt handle. Daran vermöchten auch die eingereichten tamilmet.com-Berichte nichts zu ändern.</w:t>
      </w:r>
    </w:p>
    <w:p>
      <w:r>
        <w:rPr>
          <w:b/>
        </w:rPr>
        <w:t>E. 4.2</w:t>
      </w:r>
    </w:p>
    <w:p>
      <w:r>
        <w:t>Der Beschwerdeführer wendet dagegen ein, die Vorinstanz habe die bei der Botschaft in Columbo abgegebenen Beweismittel nicht erwähnt, wiederholt seine vor dem Bundesamt zu Protokoll gegebenen Vorbringen und beruft sich auf das Grundsatzurteil BVGE 2011/24.</w:t>
      </w:r>
    </w:p>
    <w:p>
      <w:r>
        <w:rPr>
          <w:b/>
        </w:rPr>
        <w:t>E. 5</w:t>
      </w:r>
    </w:p>
    <w:p>
      <w:r>
        <w:t>Was der Beschwerdeführer aus den im Auslandverfahren eingereichten Dokumenten ableiten will, ist nicht ersichtlich und wird in der Beschwerde mit keinem Wort dargelegt. Auch sonst zeigt er nicht auf, dass und inwiefern die Beweiswürdigung der Vorinstanz zu einer fehlerhaften Sachverhaltsfeststellung oder eine Verletzung von Bundesrecht führen soll. Solches ist auch nicht ersichtlich. Gegen ein behördliches Interesse an der Verfolgung des Beschwerdeführers spricht, dass er am 17. August 2008, mithin nur einen Monat nach der angeblichen Haftentlassung, einen für zehn Jahre gültigen Reisepass ausgestellt erhielt. Ebenfalls dagegen spricht, dass das gegen ihn eingeleitete Verfahren eingestellt und er ohne Auflage freigelassen wurde. Zudem hätte er nicht mit einem Passagierschein von Jaffna nach Colombo gelangen, sich dort zweimal registrieren lassen und in der Folge mehrmals ohne Probleme mit dem eigenen Reisepasse über den internationalen Flughafen von Colombo aus dem Land aus- und wieder einreisen können, wenn er tatsächlich verfolgt würde. Schliesslich liegen keine Anhaltspunkte vor, dass der Beschwerdeführer zu den in BVGE 2011/24 genannten Risikogruppen gehört, weshalb er aus dem Grundsatzentscheid nichts zu seinen Gunsten ableiten kann. Der Beschwerdeführer hat somit nichts vorgebracht, was seine Flüchtlingseigenschaft glaubhaft erscheinen liesse. Die Vorinstanz hat das Asylgesuch zu Recht abgelehnt.</w:t>
      </w:r>
    </w:p>
    <w:p>
      <w:r>
        <w:rPr>
          <w:b/>
        </w:rPr>
        <w:t>E. 6</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wurde demnach zu Recht verfügt.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konkrete Anhaltspunkte dafür, dass er für den Fall einer Ausschaffung nach Sri Lanka dort mit beachtlicher Wahrscheinlichkeit einer nach Art. 3 EMRK oder Art. 1 FoK verbotenen Strafe oder Behandlung ausgesetzt wäre. Nach dem Gesagten ist der Vollzug der Wegweisung sowohl im Sinne der asyl- als auch der völkerrechtlichen Bestimmungen zulässig.</w:t>
      </w:r>
    </w:p>
    <w:p>
      <w:r>
        <w:rPr>
          <w:b/>
        </w:rPr>
        <w:t>E. 7.3.1</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Das Bundesverwaltungsgericht hat im bereits erwähnten Grundsatzurteil BVGE 2011/24 eine Neubeurteilung der Lage in Sri Lanka vorgenommen. Dabei hat es festgestellt, dass sich seit Beendigung des militärischen Konflikts zwischen der sri-lankischen Armee und den LTTE im Mai 2009 die Sicherheitslage erheblich verbessert und stabilisiert hat. Die LTTE wurden militärisch vernichtend geschlagen; von ihnen gehen heute keine Verfolgung mehr aus. Der Wegweisungsvollzug ist daher grundsätzlich zumutbar hinsichtlich des gesamten Gebiets der Ostprovinz und auch hinsichtlich der Nordprovinz, dort allerdings mit Ausnahme des Vanni-Gebiets (geografisch definiert in E. 13.2.2.). Bei Personen, deren letzter Aufenthalt in der Nordprovinz längere Zeit zurückliegt, sind bei der Prüfung der Zumutbarkeit die aktuellen Lebens- und Wohnverhältnisse sowie das Vorhandensein begünstigender Faktoren (Existenz eines tragfähigen Beziehungsnetzes, Sicherung des Existenzminimums und der Wohnsituation) in Betracht zu ziehen.</w:t>
      </w:r>
    </w:p>
    <w:p>
      <w:r>
        <w:rPr>
          <w:b/>
        </w:rPr>
        <w:t>E. 7.3.3</w:t>
      </w:r>
    </w:p>
    <w:p>
      <w:r>
        <w:t>Der Beschwerdeführer stammt aus D._______. Dieser Ort liegt im District Jaffna, mithin in der Nordprovinz Sri Lankas, aber ausserhalb des Vanni-Gebiets. Der Vollzug der Wegweisung dorthin ist daher grundsätzlich zumutbar. Sodann sind den Akten keine Anhaltspunkte zu entnehmen, wonach dem Beschwerdeführer aus individuellen Gründen eine Rückkehr in den Heimatstaat nicht zumutbar sein soll. Er lebte bis zu seiner Ausreise mit seiner Familie zusammen und besuchte während zwölf Jahren die Schule, zuletzt das (...) College in I._______. Demnach ist er mit seinem Land und der dortigen Tradition verwurzelt. Gemäss seinen Angaben leben seine Eltern nach wie vor am angegebenen Wohnort sowie (...) in Colombo. Damit verfügt er bei einer Rückkehr an beiden Orten über ein bestehendes soziales Beziehungsnetz, auf welches er zurückgreifen kann. Zudem steht es ihm offen, aufgrund seiner guten Schulbildung eine weitere Ausbildung anzufangen oder aber sich um eine Anstellung zu bemühen. Namentlich hat er hier in der Schweiz erste Arbeitserfahrungen als (...) sammeln können. Gemäss ständiger Praxis des Bundesverwaltungsgerichts stellen jedenfalls blosse sozi­ale und wirtschaftliche Schwierigkeiten keine existenzbedrohende Situation dar, die den Vollzug der Wegweisung als unzumutbar erscheinen liesse. Demnach erweist sich der Vollzug der Wegweisung auch als zumutbar.</w:t>
      </w:r>
    </w:p>
    <w:p>
      <w:r>
        <w:rPr>
          <w:b/>
        </w:rPr>
        <w:t>E. 7.4</w:t>
      </w:r>
    </w:p>
    <w:p>
      <w:r>
        <w:t>Es obliegt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sind die Kosten von Fr. 600.- (Art. 1 - 3 des Reglements vom 21. Februar 2008 über die Kosten und Entschädigungen vor dem Bundesverwaltungsgericht [VGKE, SR 173.320.2]) dem Beschwerdeführer aufzuerlegen (Art. 63 Abs. 1 VwVG) und mit dem am 4. Juni 2012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