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E-2295/2015 vom 23. April 2015</w:t>
      </w:r>
    </w:p>
    <w:p>
      <w:r>
        <w:t>Bundesverwaltungsgericht, 2015-04-23, DE</w:t>
      </w:r>
    </w:p>
    <w:p>
      <w:r>
        <w:rPr>
          <w:b/>
        </w:rPr>
        <w:t xml:space="preserve">Quelle: </w:t>
      </w:r>
      <w:r>
        <w:t>https://mcp.opencaselaw.ch/entscheid/bvger_E-2295_2015</w:t>
      </w:r>
    </w:p>
    <w:p>
      <w:r>
        <w:t>FR: TAF E-2295/2015 du 23 avril 2015</w:t>
      </w:r>
    </w:p>
    <w:p>
      <w:r>
        <w:t>IT: TAF E-2295/2015 del 23 aprile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Das Bundesverwaltungsgericht verzichtet auf die Durchführung eines Schriftenwechsels (Art. 111a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lehnt das Asylgesuch ab, da die Vorbringen des Beschwerdeführers den Anforderungen an die Glaubhaftmachung gemäss Art. 7 AsylG nicht standhielten, womit die Asylrelevanz nicht mehr zu prüfen sei. So müsse es sich bei der eingereichten Vorladung und dem Haftbefehl um Fälschungen handeln. Es existiere beispielsweise eine auf der Vorladung genannte Rechtsnorm nicht und beziehe sich ein anderer Paragraph auf den Verkauf verderblicher Ware, womit ausgeschlossen werden könne, dass die ausstellende Behörde - das Gericht - dieses Dokument tatsächlich ausgestellt habe. Haftbefehle, wie der eingereichte, kämen grundsätzlich nicht in den Besitz der gesuchten Person oder deren Familie, eine Verhaftung habe auch nie stattgefunden. Sodann zählt die Vorinstanz eine Vielzahl von Widersprüchen zwischen der Erst- und Zweitbefragung auf und leitet daraus unter anderem ab, dass das Gerichtsverfahren und der damit zusammenhängende Haftbefehl als Nachschub zu werten seien. Im Übrigen widerspreche sich der Beschwerdeführer zu den ihm zu Hause gestellten Fragen, zu den Anleitungen seines Schulleiters, wer den Hund getötet haben soll und ob er dies gesehen oder nicht gesehen habe. Die Unglaubhaftigkeit werde durch die unsubstantiierte, oberflächliche und allgemeine Natur der Aussagen untermauert und mit diversen unlogischen Elementen der Geschichten besiegelt.</w:t>
      </w:r>
    </w:p>
    <w:p>
      <w:r>
        <w:rPr>
          <w:b/>
        </w:rPr>
        <w:t>E. 4.2</w:t>
      </w:r>
    </w:p>
    <w:p>
      <w:r>
        <w:t>Der Beschwerdeführer stellt dem entgegen, die Vorinstanz habe in Bezug auf die Beweismittel den Sachverhalt nicht umfassend erfasst und zum Teil unrichtige Würdigungen getroffen. So habe er die Dokumente nicht willentlich und wissentlich verwendet, um etwas vorzutäuschen, sondern er sei von deren Echtheit ausgegangen. Im Übrigen sei die Erstbefragung zu kurz und zeitlich gedrängt gewesen und es sei ihm das Wort vom Dolmetscher abgeschnitten worden, es sei daher nur logisch, dass die "erste Anhörung" einen breiteren und umfassenderen Inhalt aufweise, als die "BzP". Daher habe die Vorinstanz einen falschen Massstab angesetzt, indem sie sich massgeblich vom Inhalt der Erstbefragung habe leiten lassen.</w:t>
      </w:r>
    </w:p>
    <w:p>
      <w:r>
        <w:rPr>
          <w:b/>
        </w:rPr>
        <w:t>E. 4.3</w:t>
      </w:r>
    </w:p>
    <w:p>
      <w:r>
        <w:t>Die Vorinstanz hat in tatsächlicher Hinsicht den Massstab des Glaubhaftmachens nicht verkannt und auf den vorliegenden Fall korrekt angewendet. In der angefochtenen Verfügung wird einlässlich begründet, welche der Vorbringen unglaubhaft sind. Die Beschwerde setzt sich kaum damit auseinander. Im Wesentlichen wiederholt der Beschwerdeführer seine Vorbringen oder macht allgemeine Ausführungen und erschöpft sich in appellatorischer Kritik. Damit zeigt er nicht auf, inwiefern die Vor­instanz tatsächlich Bundesrecht verletzt oder den Sachverhalt rechtsfehlerhaft festgestellt haben soll, was auch nicht ersichtlich ist. Es steht ausser Frage und wird von der Vorinstanz richtig erkannt, dass das angebliche Gerichtsverfahren und der Haftbefehl erst in der Zweitbefragung erwähnt wurden. Der Beschwerdeführer will "mangelnde Ausführungen" oder "Oberflächlichkeit" in der Erstbefragung erkennen, womit er das Nichterwähnen wichtiger Asylvorbringen entschuldigt. Er rügt, die Erstbefragung sei "kurz gehalten", summarisch und zeitlich gedrängt gewesen. Sodann habe der Dolmetscher ihn abgeschnitten. Es käme der Erstbefragung auch wenig Beweiskraft zu, "zumal sich zahlreiche Fehler (z.B. A-Level) eingeschlichen" hätten (Beschwerdeschrift S. 5). Indem die Beschwerdeschrift selbst immer wieder von A-Levels spricht - welchen Schulabschluss der Beschwerdeführer mangels Erreichens der erforderlichen Punktzahl eben nicht geschafft habe - und dieses Thema auch nicht Gegenstand der vorinstanzlichen Verfügung ist, ist diese Kritik ebenso wenig nachvollziehbar, wie die übrigen Rügen. Zur Kürze muss nämlich festgestellt werden, dass die Erstbefragung knapp zwei Stunden dauerte und nach dem ausführlichen freien Bericht zu den Asylgründen - der Beschwerdeführer wurde zu keinem Zeitpunkt unterbrochen - zwölf weitere Fragen darauf folgten und somit nicht ersichtlich ist, inwiefern dies zu kurz gewesen sein sollte, um die wichtigsten Asylvorbringen wenigstens ansatzweise zu erwähnen. Was die vorgebrachten Unterbrechungen seitens des Dolmetschers anbelangt, so sind solche weder den Protokollen zu entnehmen, noch in der Art und Weise der Antworten des Beschwerdeführers zu erkennen. Erst recht nicht nachvollziehbar ist der Vorwurf, der Vergleich der beiden Befragungen beinhalte eine falsche Anwendung von Bundesrecht (Beschwerdeschrift S. 5). Ein derart offensichtliches Nachschieben von Asylgründen wurde von der Vorinstanz zutreffend als Elemente der Unglaubhaftigkeit erkannt. Ebenso wurden die Widersprüche richtig erkannt und es kann, um Wiederholungen zu vermeiden, auf deren Aufzählungen und Ausführungen in der vorinstanzlichen Verfügung verwiesen werden. Was die gefälschten Dokumente anbelangt, erschöpft sich der Beschwerdeführer in Ausführungen, wie es sich "verhalten haben dürfte". Damit vermag er nicht aufzuzeigen, inwiefern der vorinstanzliche Schluss auf eine Fälschung Bundesrecht verletzen soll und solches lässt sich auch nicht annehmen. Es geht nicht um die Frage, ob dem Beschwerdeführer eine Täuschung zum Vorwurf gereicht, sondern einzig darum, ob er seine Vorbringen auf gefälschte oder verfälschte Beweismittel abstützt (Art. 7 Abs. 3 AsylG). Die Vorinstanz hat überzeugend dargelegt, weshalb es sich bei den eingereichten Dokumenten (Vorladung und Haftbefehl) um Fälschungen handeln muss. Um Wiederholungen zu vermeiden, kann auf die Ausführungen in der angefochtenen Verfügung verwiesen werden. In Anbetracht der Tatsache, dass sich die Vorbringen auf gefälschte Dokumente stützen, widersprüchlich und unsubstantiiert sind, nimmt die Vor­instanz zutreffend an, dass die Vorbringen den Anforderungen an das Glaubhaftmachen von Art. 7 AsylG nicht genügen. Sie hat das Asylgesuch zu Recht abgelehnt.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das SEM das Anwesenheitsverhältnis nach den gesetzlichen Bestimmungen über die vorläufige Aufnahme von Ausländerinnen und Ausländern (Art. 44 AsylG; Art. 83 Abs. 1 AuG, [SR 142.20]).</w:t>
      </w:r>
    </w:p>
    <w:p>
      <w:r>
        <w:rPr>
          <w:b/>
        </w:rPr>
        <w:t>E. 6.2</w:t>
      </w:r>
    </w:p>
    <w:p>
      <w:r>
        <w:t>Der Vollzug der Wegweisung ist nach Art. 83 Abs. 3 AuG (SR 142.20)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(vgl.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 Der Beschwerdeführer weist kein Profil auf, um zukünftig staatlichen Verfolgungsmassnahmen ausgesetzt zu sein. Ausserdem leben seine Mutter, seine jüngere Schwester und seine Grossmutter seit Jahren vor Ort. Die vorläufige Aufnahme seines Vaters in der Schweiz ändert daran nichts. Es sind keine Anhaltspunkte ersichtlich, gemäss derer der Beschwerdeführer Massnahmen zu befürchten hätte, die - wenn überhaupt - über einen sogenannten "background check" (Befragung und Überprüfung von Tätigkeiten im In- und Ausland) hinausgehen oder ihm persönlich im Falle einer Rückkehr ein ernsthafter Nachteil drohen könnte. Solches lässt sich auch nicht annehmen, nachdem seine Vorbringen - wie bereits ausgeführt - insgesamt und offensichtlich unglaubhaft ausgefallen sind. Der Vollzug der Wegweisung ist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Sri Lanka herrscht weder Krieg noch eine Situation allgemeiner Gewalt. Der bewaffnete Konflikt zwischen der sri-lankischen Regierung und den LTTE ist im Mai 2009 zu Ende gegangen. Auf eine Beurteilung der Situation und der Zumutbarkeit in Bezug auf das Vanni-Gebiet kann hier verzichtet werden, stammt der Beschwerdeführer doch ursprünglich aus Jaffna (zur Problematik Vanni-Gebiet und Zumutbarkeit der Wegweisung: BVGE 2011/24 E. 12 f.). Seine Herkunft aus Jaffna ist belegt. Es kann davon ausgegangen werden, dass er die Möglichkeit hat, sich in seiner Heimat Jaffna oder in Colombo niederzulassen. Im Übrigen handelt es sich in der Person des Beschwerdeführers um einen jungen Mann in bestem Arbeitsalter, mit Arbeitserfahrung als Friseur. Sodann hat er - bis auf seinen Vater - ein Beziehungsnetz und seine Familie in Sri Lanka. So leben beispielsweise seine Mutter, seine Schwester und Grossmutter in Sri Lanka. Was sein rheumatisches Fieber anbelangt, so ist gemäss Arztbericht vom 23. Dezember 2014 aktenkundig, dass die Behandlung vom 24. März bis 12. Dezember 2014 durchgeführt wurde, abgeschlossen ist und keine weiteren Behandlungen notwendig sind. Der Vollzug der Wegweisung ist zumutbar.</w:t>
      </w:r>
    </w:p>
    <w:p>
      <w:r>
        <w:rPr>
          <w:b/>
        </w:rPr>
        <w:t>E. 6.4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6.5</w:t>
      </w:r>
    </w:p>
    <w:p>
      <w:r>
        <w:t>Zusammenfassend hat die Vorinstanz den Vollzug der Wegweisung zutreffend als zulässig, zumutbar und möglich bezeichnet, womit die Anordnung einer vorläufigen Aufnahme ausser Betracht fällt (Art. 83 Abs. 1 AuG).</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auf die Erhebung eines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